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24" w:rsidRPr="003E77E0" w:rsidRDefault="00432E24" w:rsidP="00600DEC">
      <w:pPr>
        <w:pStyle w:val="Title"/>
        <w:spacing w:after="80"/>
        <w:rPr>
          <w:sz w:val="32"/>
          <w:szCs w:val="32"/>
        </w:rPr>
      </w:pPr>
      <w:r w:rsidRPr="003E77E0">
        <w:rPr>
          <w:sz w:val="32"/>
          <w:szCs w:val="32"/>
        </w:rPr>
        <w:t xml:space="preserve">Why contracting for performance in prison and detention management is worth a closer look </w:t>
      </w:r>
    </w:p>
    <w:p w:rsidR="003223E1" w:rsidRPr="003E77E0" w:rsidRDefault="00966245" w:rsidP="003223E1">
      <w:pPr>
        <w:spacing w:after="0" w:line="240" w:lineRule="auto"/>
        <w:rPr>
          <w:rFonts w:asciiTheme="majorHAnsi" w:hAnsiTheme="majorHAnsi" w:cstheme="majorHAnsi"/>
        </w:rPr>
      </w:pPr>
      <w:r w:rsidRPr="003E77E0">
        <w:rPr>
          <w:noProof/>
        </w:rPr>
        <mc:AlternateContent>
          <mc:Choice Requires="wps">
            <w:drawing>
              <wp:anchor distT="0" distB="0" distL="114300" distR="114300" simplePos="0" relativeHeight="251670528" behindDoc="0" locked="0" layoutInCell="1" allowOverlap="1" wp14:anchorId="5A4C0AAC" wp14:editId="32425C40">
                <wp:simplePos x="0" y="0"/>
                <wp:positionH relativeFrom="column">
                  <wp:posOffset>827405</wp:posOffset>
                </wp:positionH>
                <wp:positionV relativeFrom="paragraph">
                  <wp:posOffset>265430</wp:posOffset>
                </wp:positionV>
                <wp:extent cx="5111115" cy="1050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050290"/>
                        </a:xfrm>
                        <a:prstGeom prst="rect">
                          <a:avLst/>
                        </a:prstGeom>
                        <a:solidFill>
                          <a:srgbClr val="0070C0">
                            <a:alpha val="10000"/>
                          </a:srgbClr>
                        </a:solidFill>
                        <a:ln w="9525">
                          <a:noFill/>
                          <a:miter lim="800000"/>
                          <a:headEnd/>
                          <a:tailEnd/>
                        </a:ln>
                      </wps:spPr>
                      <wps:txbx>
                        <w:txbxContent>
                          <w:p w:rsidR="00FC68C3" w:rsidRPr="004E291D" w:rsidRDefault="00FC68C3" w:rsidP="00FC68C3">
                            <w:r w:rsidRPr="004E291D">
                              <w:t xml:space="preserve">Curt Bramble is </w:t>
                            </w:r>
                            <w:r w:rsidR="00FA7FF9" w:rsidRPr="004E291D">
                              <w:t xml:space="preserve">a Republican </w:t>
                            </w:r>
                            <w:r w:rsidRPr="004E291D">
                              <w:t xml:space="preserve">serving his fifth term in the Utah State Senate where he </w:t>
                            </w:r>
                            <w:r w:rsidR="003223E1">
                              <w:t xml:space="preserve">currently serves as President Pro-Tempore, and </w:t>
                            </w:r>
                            <w:r w:rsidRPr="004E291D">
                              <w:t xml:space="preserve">previously served as Senate majority leader. He is </w:t>
                            </w:r>
                            <w:r w:rsidR="003223E1">
                              <w:t>the Immediate P</w:t>
                            </w:r>
                            <w:r w:rsidRPr="004E291D">
                              <w:t>ast</w:t>
                            </w:r>
                            <w:r w:rsidR="003223E1">
                              <w:t xml:space="preserve"> P</w:t>
                            </w:r>
                            <w:r w:rsidRPr="004E291D">
                              <w:t>resident of the National Conference of State Legislat</w:t>
                            </w:r>
                            <w:r w:rsidR="003223E1">
                              <w:t>ure</w:t>
                            </w:r>
                            <w:r w:rsidRPr="004E291D">
                              <w:t>s</w:t>
                            </w:r>
                            <w:r w:rsidR="003223E1">
                              <w:t xml:space="preserve"> (NCSL)</w:t>
                            </w:r>
                            <w:r w:rsidRPr="004E291D">
                              <w:t xml:space="preserve"> and </w:t>
                            </w:r>
                            <w:r w:rsidR="003223E1">
                              <w:t xml:space="preserve">is </w:t>
                            </w:r>
                            <w:r w:rsidRPr="004E291D">
                              <w:t>the current president of the NCSL Foundation for State Legislatures.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C0AAC" id="_x0000_t202" coordsize="21600,21600" o:spt="202" path="m,l,21600r21600,l21600,xe">
                <v:stroke joinstyle="miter"/>
                <v:path gradientshapeok="t" o:connecttype="rect"/>
              </v:shapetype>
              <v:shape id="Text Box 2" o:spid="_x0000_s1026" type="#_x0000_t202" style="position:absolute;margin-left:65.15pt;margin-top:20.9pt;width:402.45pt;height:8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" fillcolor="#0070c0" stroked="f">
                <v:fill opacity="6682f"/>
                <v:textbox>
                  <w:txbxContent>
                    <w:p w:rsidR="00FC68C3" w:rsidRPr="004E291D" w:rsidRDefault="00FC68C3" w:rsidP="00FC68C3">
                      <w:r w:rsidRPr="004E291D">
                        <w:t xml:space="preserve">Curt Bramble is </w:t>
                      </w:r>
                      <w:r w:rsidR="00FA7FF9" w:rsidRPr="004E291D">
                        <w:t xml:space="preserve">a Republican </w:t>
                      </w:r>
                      <w:r w:rsidRPr="004E291D">
                        <w:t xml:space="preserve">serving his fifth term in the Utah State Senate where he </w:t>
                      </w:r>
                      <w:r w:rsidR="003223E1">
                        <w:t xml:space="preserve">currently serves as President Pro-Tempore, and </w:t>
                      </w:r>
                      <w:r w:rsidRPr="004E291D">
                        <w:t xml:space="preserve">previously served as Senate majority leader. He is </w:t>
                      </w:r>
                      <w:r w:rsidR="003223E1">
                        <w:t>the Immediate P</w:t>
                      </w:r>
                      <w:r w:rsidRPr="004E291D">
                        <w:t>ast</w:t>
                      </w:r>
                      <w:r w:rsidR="003223E1">
                        <w:t xml:space="preserve"> P</w:t>
                      </w:r>
                      <w:r w:rsidRPr="004E291D">
                        <w:t>resident of the National Conference of State Legislat</w:t>
                      </w:r>
                      <w:r w:rsidR="003223E1">
                        <w:t>ure</w:t>
                      </w:r>
                      <w:r w:rsidRPr="004E291D">
                        <w:t>s</w:t>
                      </w:r>
                      <w:r w:rsidR="003223E1">
                        <w:t xml:space="preserve"> (NCSL)</w:t>
                      </w:r>
                      <w:r w:rsidRPr="004E291D">
                        <w:t xml:space="preserve"> and </w:t>
                      </w:r>
                      <w:r w:rsidR="003223E1">
                        <w:t xml:space="preserve">is </w:t>
                      </w:r>
                      <w:r w:rsidRPr="004E291D">
                        <w:t>the current president of the NCSL Foundation for State Legislatures.</w:t>
                      </w:r>
                    </w:p>
                  </w:txbxContent>
                </v:textbox>
                <w10:wrap type="square"/>
              </v:shape>
            </w:pict>
          </mc:Fallback>
        </mc:AlternateContent>
      </w:r>
      <w:r w:rsidR="001D4E9D" w:rsidRPr="003E77E0">
        <w:rPr>
          <w:noProof/>
        </w:rPr>
        <mc:AlternateContent>
          <mc:Choice Requires="wps">
            <w:drawing>
              <wp:anchor distT="0" distB="0" distL="114300" distR="114300" simplePos="0" relativeHeight="251674624" behindDoc="0" locked="0" layoutInCell="1" allowOverlap="1" wp14:anchorId="61803165" wp14:editId="0DF3D586">
                <wp:simplePos x="0" y="0"/>
                <wp:positionH relativeFrom="column">
                  <wp:posOffset>827405</wp:posOffset>
                </wp:positionH>
                <wp:positionV relativeFrom="page">
                  <wp:posOffset>2879090</wp:posOffset>
                </wp:positionV>
                <wp:extent cx="5111115" cy="84010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840105"/>
                        </a:xfrm>
                        <a:prstGeom prst="rect">
                          <a:avLst/>
                        </a:prstGeom>
                        <a:solidFill>
                          <a:srgbClr val="0070C0">
                            <a:alpha val="10000"/>
                          </a:srgbClr>
                        </a:solidFill>
                        <a:ln w="9525">
                          <a:noFill/>
                          <a:miter lim="800000"/>
                          <a:headEnd/>
                          <a:tailEnd/>
                        </a:ln>
                      </wps:spPr>
                      <wps:txbx>
                        <w:txbxContent>
                          <w:p w:rsidR="00FC68C3" w:rsidRPr="004E291D" w:rsidRDefault="00FC68C3" w:rsidP="00FA7FF9">
                            <w:r w:rsidRPr="004E291D">
                              <w:t xml:space="preserve">Vernon Jones is </w:t>
                            </w:r>
                            <w:r w:rsidR="00FA7FF9" w:rsidRPr="004E291D">
                              <w:t xml:space="preserve">a Democrat </w:t>
                            </w:r>
                            <w:r w:rsidRPr="004E291D">
                              <w:t xml:space="preserve">serving in his </w:t>
                            </w:r>
                            <w:r w:rsidR="00FA7FF9" w:rsidRPr="004E291D">
                              <w:t xml:space="preserve">second consecutive </w:t>
                            </w:r>
                            <w:r w:rsidRPr="004E291D">
                              <w:t>term in the Georgia House of Representatives</w:t>
                            </w:r>
                            <w:r w:rsidR="00FA7FF9" w:rsidRPr="004E291D">
                              <w:t xml:space="preserve">, having served previously in </w:t>
                            </w:r>
                            <w:r w:rsidR="00487C61">
                              <w:t xml:space="preserve">the Georgia House from 1993-2000. </w:t>
                            </w:r>
                            <w:r w:rsidR="00766A76">
                              <w:t>From 2001-2008 he served as Chief Executive O</w:t>
                            </w:r>
                            <w:r w:rsidR="00CD727F">
                              <w:t>fficer</w:t>
                            </w:r>
                            <w:bookmarkStart w:id="0" w:name="_GoBack"/>
                            <w:bookmarkEnd w:id="0"/>
                            <w:r w:rsidR="00766A76">
                              <w:t xml:space="preserve"> </w:t>
                            </w:r>
                            <w:r w:rsidR="00FA7FF9" w:rsidRPr="004E291D">
                              <w:t xml:space="preserve">of </w:t>
                            </w:r>
                            <w:r w:rsidR="001B7038" w:rsidRPr="004E291D">
                              <w:t>DeKalb</w:t>
                            </w:r>
                            <w:r w:rsidR="00FA7FF9" w:rsidRPr="004E291D">
                              <w:t xml:space="preserve"> County</w:t>
                            </w:r>
                            <w:r w:rsidR="00766A76">
                              <w:t>.</w:t>
                            </w:r>
                            <w:r w:rsidR="00FA7FF9" w:rsidRPr="004E291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03165" id="_x0000_t202" coordsize="21600,21600" o:spt="202" path="m,l,21600r21600,l21600,xe">
                <v:stroke joinstyle="miter"/>
                <v:path gradientshapeok="t" o:connecttype="rect"/>
              </v:shapetype>
              <v:shape id="_x0000_s1027" type="#_x0000_t202" style="position:absolute;margin-left:65.15pt;margin-top:226.7pt;width:402.45pt;height:6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" fillcolor="#0070c0" stroked="f">
                <v:fill opacity="6682f"/>
                <v:textbox>
                  <w:txbxContent>
                    <w:p w:rsidR="00FC68C3" w:rsidRPr="004E291D" w:rsidRDefault="00FC68C3" w:rsidP="00FA7FF9">
                      <w:r w:rsidRPr="004E291D">
                        <w:t xml:space="preserve">Vernon Jones is </w:t>
                      </w:r>
                      <w:r w:rsidR="00FA7FF9" w:rsidRPr="004E291D">
                        <w:t xml:space="preserve">a Democrat </w:t>
                      </w:r>
                      <w:r w:rsidRPr="004E291D">
                        <w:t xml:space="preserve">serving in his </w:t>
                      </w:r>
                      <w:r w:rsidR="00FA7FF9" w:rsidRPr="004E291D">
                        <w:t xml:space="preserve">second consecutive </w:t>
                      </w:r>
                      <w:r w:rsidRPr="004E291D">
                        <w:t>term in the Georgia House of Representatives</w:t>
                      </w:r>
                      <w:r w:rsidR="00FA7FF9" w:rsidRPr="004E291D">
                        <w:t xml:space="preserve">, having served previously in </w:t>
                      </w:r>
                      <w:r w:rsidR="00487C61">
                        <w:t xml:space="preserve">the Georgia House from 1993-2000. </w:t>
                      </w:r>
                      <w:r w:rsidR="00766A76">
                        <w:t>From 2001-2008 he served as Chief Executive O</w:t>
                      </w:r>
                      <w:r w:rsidR="00CD727F">
                        <w:t>fficer</w:t>
                      </w:r>
                      <w:bookmarkStart w:id="1" w:name="_GoBack"/>
                      <w:bookmarkEnd w:id="1"/>
                      <w:r w:rsidR="00766A76">
                        <w:t xml:space="preserve"> </w:t>
                      </w:r>
                      <w:r w:rsidR="00FA7FF9" w:rsidRPr="004E291D">
                        <w:t xml:space="preserve">of </w:t>
                      </w:r>
                      <w:r w:rsidR="001B7038" w:rsidRPr="004E291D">
                        <w:t>DeKalb</w:t>
                      </w:r>
                      <w:r w:rsidR="00FA7FF9" w:rsidRPr="004E291D">
                        <w:t xml:space="preserve"> County</w:t>
                      </w:r>
                      <w:r w:rsidR="00766A76">
                        <w:t>.</w:t>
                      </w:r>
                      <w:r w:rsidR="00FA7FF9" w:rsidRPr="004E291D">
                        <w:t xml:space="preserve"> </w:t>
                      </w:r>
                    </w:p>
                  </w:txbxContent>
                </v:textbox>
                <w10:wrap type="topAndBottom" anchory="page"/>
              </v:shape>
            </w:pict>
          </mc:Fallback>
        </mc:AlternateContent>
      </w:r>
      <w:r w:rsidR="003E77E0" w:rsidRPr="003E77E0">
        <w:rPr>
          <w:noProof/>
        </w:rPr>
        <w:drawing>
          <wp:anchor distT="0" distB="0" distL="114300" distR="114300" simplePos="0" relativeHeight="251672576" behindDoc="0" locked="0" layoutInCell="1" allowOverlap="1" wp14:anchorId="499C8C83" wp14:editId="15C76AB0">
            <wp:simplePos x="0" y="0"/>
            <wp:positionH relativeFrom="column">
              <wp:posOffset>0</wp:posOffset>
            </wp:positionH>
            <wp:positionV relativeFrom="page">
              <wp:posOffset>2806666</wp:posOffset>
            </wp:positionV>
            <wp:extent cx="685800" cy="914400"/>
            <wp:effectExtent l="0" t="0" r="0" b="0"/>
            <wp:wrapTopAndBottom/>
            <wp:docPr id="6" name="Picture 6" descr="C:\Users\Danny.Jasperson\AppData\Local\Microsoft\Windows\INetCache\Content.Word\Vernon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ny.Jasperson\AppData\Local\Microsoft\Windows\INetCache\Content.Word\VernonJon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8580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77E0" w:rsidRPr="003E77E0">
        <w:rPr>
          <w:noProof/>
        </w:rPr>
        <w:drawing>
          <wp:anchor distT="0" distB="0" distL="114300" distR="114300" simplePos="0" relativeHeight="251668480" behindDoc="0" locked="0" layoutInCell="1" allowOverlap="1" wp14:anchorId="4B2F874F" wp14:editId="7966CC78">
            <wp:simplePos x="0" y="0"/>
            <wp:positionH relativeFrom="column">
              <wp:posOffset>0</wp:posOffset>
            </wp:positionH>
            <wp:positionV relativeFrom="page">
              <wp:posOffset>1757680</wp:posOffset>
            </wp:positionV>
            <wp:extent cx="685800" cy="914400"/>
            <wp:effectExtent l="0" t="0" r="0" b="0"/>
            <wp:wrapTopAndBottom/>
            <wp:docPr id="5" name="Picture 5" descr="C:\Users\Danny.Jasperson\AppData\Local\Microsoft\Windows\INetCache\Content.Word\BRAMBL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ny.Jasperson\AppData\Local\Microsoft\Windows\INetCache\Content.Word\BRAMBLEC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57" b="2457"/>
                    <a:stretch/>
                  </pic:blipFill>
                  <pic:spPr bwMode="auto">
                    <a:xfrm>
                      <a:off x="0" y="0"/>
                      <a:ext cx="68580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68C3" w:rsidRPr="003E77E0">
        <w:rPr>
          <w:rFonts w:asciiTheme="majorHAnsi" w:hAnsiTheme="majorHAnsi" w:cstheme="majorHAnsi"/>
        </w:rPr>
        <w:t>By Sen. Curtis S. Bramble (R-16-UT) and Rep. Vernon Jones (D-91-GA)</w:t>
      </w:r>
    </w:p>
    <w:p w:rsidR="00432E24" w:rsidRPr="00710BA0" w:rsidRDefault="00432E24" w:rsidP="00432E24">
      <w:pPr>
        <w:pStyle w:val="Heading1"/>
      </w:pPr>
      <w:r w:rsidRPr="00015E1D">
        <w:t>Executive Summary</w:t>
      </w:r>
    </w:p>
    <w:p w:rsidR="00432E24" w:rsidRPr="00407BC5" w:rsidRDefault="00432E24" w:rsidP="00432E24">
      <w:r>
        <w:t>C</w:t>
      </w:r>
      <w:r w:rsidRPr="00015E1D">
        <w:t>ontract</w:t>
      </w:r>
      <w:r>
        <w:t>ing for performance is used by most states and the federal government to deliver quality correctional and detention services</w:t>
      </w:r>
      <w:r w:rsidRPr="008F1787">
        <w:t xml:space="preserve"> </w:t>
      </w:r>
      <w:r>
        <w:t xml:space="preserve">in a way that is fiscally responsible and highly accountable. </w:t>
      </w:r>
      <w:r w:rsidRPr="00407BC5">
        <w:t>Contracting for performance provides government agencies:</w:t>
      </w:r>
    </w:p>
    <w:p w:rsidR="00432E24" w:rsidRPr="00710BA0" w:rsidRDefault="00432E24" w:rsidP="00432E24">
      <w:pPr>
        <w:pStyle w:val="ListParagraph"/>
        <w:numPr>
          <w:ilvl w:val="0"/>
          <w:numId w:val="3"/>
        </w:numPr>
        <w:spacing w:after="0" w:line="240" w:lineRule="auto"/>
        <w:rPr>
          <w:color w:val="0070C0"/>
        </w:rPr>
      </w:pPr>
      <w:r w:rsidRPr="00710BA0">
        <w:rPr>
          <w:color w:val="0070C0"/>
        </w:rPr>
        <w:t xml:space="preserve">Quality services to rehabilitate inmates and effectively transition detained immigrants </w:t>
      </w:r>
    </w:p>
    <w:p w:rsidR="00432E24" w:rsidRPr="00015E1D" w:rsidRDefault="00432E24" w:rsidP="00432E24">
      <w:pPr>
        <w:ind w:left="720"/>
      </w:pPr>
      <w:r w:rsidRPr="00015E1D">
        <w:t>Contract</w:t>
      </w:r>
      <w:r>
        <w:t xml:space="preserve">ing for performance in corrections spurs innovation to reduce recidivism through effective educational, vocational, substance abuse, and cognitive behavioral programs. In the management of immigrant detention centers, contracting ensures detainees are housed in dedicated facilities with comprehensive </w:t>
      </w:r>
      <w:r w:rsidRPr="00015E1D">
        <w:t>medical care</w:t>
      </w:r>
      <w:r>
        <w:t xml:space="preserve">, access </w:t>
      </w:r>
      <w:r w:rsidRPr="00015E1D">
        <w:t>to legal materials and services</w:t>
      </w:r>
      <w:r>
        <w:t>, and o</w:t>
      </w:r>
      <w:r w:rsidRPr="00015E1D">
        <w:t>pportunities for recreation, education, and counseling services</w:t>
      </w:r>
    </w:p>
    <w:p w:rsidR="00432E24" w:rsidRPr="00710BA0" w:rsidRDefault="00432E24" w:rsidP="00432E24">
      <w:pPr>
        <w:pStyle w:val="ListParagraph"/>
        <w:numPr>
          <w:ilvl w:val="0"/>
          <w:numId w:val="3"/>
        </w:numPr>
        <w:spacing w:after="0" w:line="240" w:lineRule="auto"/>
        <w:rPr>
          <w:color w:val="0070C0"/>
        </w:rPr>
      </w:pPr>
      <w:r w:rsidRPr="00710BA0">
        <w:rPr>
          <w:color w:val="0070C0"/>
        </w:rPr>
        <w:t>A proven way to manage budgets and control costs</w:t>
      </w:r>
    </w:p>
    <w:p w:rsidR="00432E24" w:rsidRDefault="00432E24" w:rsidP="00432E24">
      <w:pPr>
        <w:spacing w:after="0"/>
        <w:ind w:left="720"/>
      </w:pPr>
      <w:r>
        <w:t xml:space="preserve">With contracting, governments ensure high-performing correctional and detention facilities at a significant cost savings: </w:t>
      </w:r>
    </w:p>
    <w:p w:rsidR="00432E24" w:rsidRPr="00015E1D" w:rsidRDefault="00432E24" w:rsidP="00432E24">
      <w:pPr>
        <w:pStyle w:val="ListParagraph"/>
        <w:numPr>
          <w:ilvl w:val="1"/>
          <w:numId w:val="3"/>
        </w:numPr>
      </w:pPr>
      <w:r w:rsidRPr="00015E1D">
        <w:t xml:space="preserve">Contract prisons save the Federal Bureau </w:t>
      </w:r>
      <w:r>
        <w:t>o</w:t>
      </w:r>
      <w:r w:rsidRPr="00015E1D">
        <w:t>f Prisons</w:t>
      </w:r>
      <w:r>
        <w:t xml:space="preserve"> </w:t>
      </w:r>
      <w:r w:rsidRPr="00015E1D">
        <w:t xml:space="preserve">$312 million annually </w:t>
      </w:r>
    </w:p>
    <w:p w:rsidR="00432E24" w:rsidRDefault="00432E24" w:rsidP="00432E24">
      <w:pPr>
        <w:pStyle w:val="ListParagraph"/>
        <w:numPr>
          <w:ilvl w:val="1"/>
          <w:numId w:val="3"/>
        </w:numPr>
      </w:pPr>
      <w:r w:rsidRPr="00015E1D">
        <w:t xml:space="preserve">Contract detention saves Immigration &amp; Customs Enforcement $402 million annually </w:t>
      </w:r>
    </w:p>
    <w:p w:rsidR="00432E24" w:rsidRDefault="00432E24" w:rsidP="00432E24">
      <w:pPr>
        <w:pStyle w:val="ListParagraph"/>
        <w:numPr>
          <w:ilvl w:val="1"/>
          <w:numId w:val="3"/>
        </w:numPr>
      </w:pPr>
      <w:r>
        <w:t xml:space="preserve">The average state could save </w:t>
      </w:r>
      <w:r w:rsidRPr="00015E1D">
        <w:t>$13-15 million annually</w:t>
      </w:r>
      <w:r>
        <w:t xml:space="preserve"> through corrections contracting</w:t>
      </w:r>
      <w:r w:rsidRPr="00015E1D">
        <w:t xml:space="preserve"> </w:t>
      </w:r>
    </w:p>
    <w:p w:rsidR="00432E24" w:rsidRPr="00702D1E" w:rsidRDefault="00432E24" w:rsidP="00432E24">
      <w:pPr>
        <w:pStyle w:val="ListParagraph"/>
        <w:ind w:left="1440"/>
        <w:rPr>
          <w:sz w:val="16"/>
          <w:szCs w:val="16"/>
        </w:rPr>
      </w:pPr>
    </w:p>
    <w:p w:rsidR="00432E24" w:rsidRPr="005E7E36" w:rsidRDefault="00432E24" w:rsidP="00432E24">
      <w:pPr>
        <w:pStyle w:val="ListParagraph"/>
        <w:numPr>
          <w:ilvl w:val="0"/>
          <w:numId w:val="3"/>
        </w:numPr>
        <w:spacing w:before="160" w:after="0" w:line="240" w:lineRule="auto"/>
        <w:rPr>
          <w:color w:val="0070C0"/>
        </w:rPr>
      </w:pPr>
      <w:r w:rsidRPr="005E7E36">
        <w:rPr>
          <w:color w:val="0070C0"/>
        </w:rPr>
        <w:t xml:space="preserve">Safe and secure correctional and detention facilities </w:t>
      </w:r>
    </w:p>
    <w:p w:rsidR="00432E24" w:rsidRDefault="00432E24" w:rsidP="00432E24">
      <w:pPr>
        <w:ind w:left="720"/>
      </w:pPr>
      <w:r>
        <w:t>Contract facilities adhere to the same rigorous safety standards as their publicly run counterparts. Numerous studies comparing contract prisons to government-operated prisons have found that contract facilities provide the same level of safety and security.</w:t>
      </w:r>
      <w:r w:rsidRPr="00015E1D">
        <w:t xml:space="preserve"> </w:t>
      </w:r>
    </w:p>
    <w:p w:rsidR="00432E24" w:rsidRPr="00500FE6" w:rsidRDefault="00432E24" w:rsidP="00432E24">
      <w:pPr>
        <w:pStyle w:val="ListParagraph"/>
        <w:numPr>
          <w:ilvl w:val="0"/>
          <w:numId w:val="3"/>
        </w:numPr>
        <w:spacing w:after="0" w:line="240" w:lineRule="auto"/>
        <w:rPr>
          <w:color w:val="0070C0"/>
        </w:rPr>
      </w:pPr>
      <w:r w:rsidRPr="00500FE6">
        <w:rPr>
          <w:color w:val="0070C0"/>
        </w:rPr>
        <w:t>High performance achieved by holding correctional and detention facilities accountable</w:t>
      </w:r>
    </w:p>
    <w:p w:rsidR="00432E24" w:rsidRDefault="00432E24" w:rsidP="00432E24">
      <w:pPr>
        <w:ind w:left="720"/>
      </w:pPr>
      <w:r>
        <w:t xml:space="preserve">Contract facilities are held accountable through contracts with clear performance outcomes, daily monitoring and frequent audits, penalties for failure to perform, and incentives for exceeding performance. </w:t>
      </w:r>
    </w:p>
    <w:p w:rsidR="00E5589A" w:rsidRPr="00E5589A" w:rsidRDefault="00432E24" w:rsidP="00967585">
      <w:pPr>
        <w:pStyle w:val="Heading3"/>
        <w:spacing w:line="240" w:lineRule="auto"/>
      </w:pPr>
      <w:r w:rsidRPr="00BE6E2B">
        <w:t xml:space="preserve">State legislatures looking for improved outcomes, accountability, and cost savings in prison and detention management should give contracting for performance a closer look. </w:t>
      </w:r>
    </w:p>
    <w:p w:rsidR="006B2CC2" w:rsidRDefault="006B2CC2" w:rsidP="006B2CC2">
      <w:pPr>
        <w:pStyle w:val="Heading1"/>
      </w:pPr>
      <w:r>
        <w:lastRenderedPageBreak/>
        <w:t>Introduction</w:t>
      </w:r>
    </w:p>
    <w:p w:rsidR="0015247C" w:rsidRDefault="00A5579C" w:rsidP="00474D5A">
      <w:r>
        <w:t>A majority of</w:t>
      </w:r>
      <w:r w:rsidR="008347F4">
        <w:t xml:space="preserve"> states and the federal government currently choose to contract </w:t>
      </w:r>
      <w:r w:rsidR="00474D5A">
        <w:t>for performance in prison and detention management</w:t>
      </w:r>
      <w:r w:rsidR="008347F4">
        <w:t xml:space="preserve">. Why do they do it? </w:t>
      </w:r>
      <w:r w:rsidR="0075497F">
        <w:t>For the same reason government agencies contract for any other service: to provide the public with high-quality services in a way that is fiscally responsible</w:t>
      </w:r>
      <w:r w:rsidR="00DC597F">
        <w:t xml:space="preserve"> and highly accountable</w:t>
      </w:r>
      <w:r w:rsidR="0075497F">
        <w:t xml:space="preserve">. </w:t>
      </w:r>
      <w:r w:rsidR="00474D5A">
        <w:t xml:space="preserve">Contracting for performance allows government agencies to define the outcomes they want to see in corrections and detention management, </w:t>
      </w:r>
      <w:r w:rsidR="003D35C9">
        <w:t xml:space="preserve">select private-sector companies with the experience and expertise to deliver those outcomes, and </w:t>
      </w:r>
      <w:r w:rsidR="00474D5A">
        <w:t xml:space="preserve">hold </w:t>
      </w:r>
      <w:r w:rsidR="003D35C9">
        <w:t>them</w:t>
      </w:r>
      <w:r w:rsidR="00474D5A">
        <w:t xml:space="preserve"> accountable for </w:t>
      </w:r>
      <w:r w:rsidR="006A337E">
        <w:t>performance</w:t>
      </w:r>
      <w:r w:rsidR="00474D5A">
        <w:t>.</w:t>
      </w:r>
    </w:p>
    <w:p w:rsidR="003B483A" w:rsidRDefault="0015247C" w:rsidP="008347F4">
      <w:r>
        <w:t>There</w:t>
      </w:r>
      <w:r w:rsidR="00C36074">
        <w:t xml:space="preserve"> are many benefits to the state</w:t>
      </w:r>
      <w:r>
        <w:t xml:space="preserve"> and federal government agencies that contract for </w:t>
      </w:r>
      <w:r w:rsidR="002D37C9">
        <w:t>correctional</w:t>
      </w:r>
      <w:r>
        <w:t xml:space="preserve"> and detention services. </w:t>
      </w:r>
      <w:r w:rsidR="00FC7ED7">
        <w:t>Contract</w:t>
      </w:r>
      <w:r w:rsidR="00DC597F">
        <w:t xml:space="preserve">ing </w:t>
      </w:r>
      <w:r w:rsidR="009D23D9">
        <w:t>provides government agencies</w:t>
      </w:r>
      <w:r w:rsidR="00FC7ED7">
        <w:t>:</w:t>
      </w:r>
    </w:p>
    <w:p w:rsidR="008061C8" w:rsidRPr="00A62754" w:rsidRDefault="009D23D9" w:rsidP="008061C8">
      <w:pPr>
        <w:pStyle w:val="ListParagraph"/>
        <w:numPr>
          <w:ilvl w:val="0"/>
          <w:numId w:val="3"/>
        </w:numPr>
        <w:rPr>
          <w:color w:val="0070C0"/>
        </w:rPr>
      </w:pPr>
      <w:r w:rsidRPr="00A62754">
        <w:rPr>
          <w:color w:val="0070C0"/>
        </w:rPr>
        <w:t>Q</w:t>
      </w:r>
      <w:r w:rsidR="00DC597F" w:rsidRPr="00A62754">
        <w:rPr>
          <w:color w:val="0070C0"/>
        </w:rPr>
        <w:t xml:space="preserve">uality services to rehabilitate inmates and effectively transition detained immigrants </w:t>
      </w:r>
    </w:p>
    <w:p w:rsidR="008A5A52" w:rsidRPr="00A62754" w:rsidRDefault="009D23D9" w:rsidP="00263862">
      <w:pPr>
        <w:pStyle w:val="ListParagraph"/>
        <w:numPr>
          <w:ilvl w:val="0"/>
          <w:numId w:val="3"/>
        </w:numPr>
        <w:rPr>
          <w:color w:val="0070C0"/>
        </w:rPr>
      </w:pPr>
      <w:r w:rsidRPr="00A62754">
        <w:rPr>
          <w:color w:val="0070C0"/>
        </w:rPr>
        <w:t xml:space="preserve">A proven way to </w:t>
      </w:r>
      <w:r w:rsidR="00591378">
        <w:rPr>
          <w:color w:val="0070C0"/>
        </w:rPr>
        <w:t xml:space="preserve">manage </w:t>
      </w:r>
      <w:r w:rsidR="00DC597F" w:rsidRPr="00A62754">
        <w:rPr>
          <w:color w:val="0070C0"/>
        </w:rPr>
        <w:t>budgets and control costs</w:t>
      </w:r>
    </w:p>
    <w:p w:rsidR="002053BF" w:rsidRPr="00A62754" w:rsidRDefault="009D23D9" w:rsidP="002053BF">
      <w:pPr>
        <w:pStyle w:val="ListParagraph"/>
        <w:numPr>
          <w:ilvl w:val="0"/>
          <w:numId w:val="3"/>
        </w:numPr>
        <w:rPr>
          <w:color w:val="0070C0"/>
        </w:rPr>
      </w:pPr>
      <w:r w:rsidRPr="00A62754">
        <w:rPr>
          <w:color w:val="0070C0"/>
        </w:rPr>
        <w:t>S</w:t>
      </w:r>
      <w:r w:rsidR="003E0392" w:rsidRPr="00A62754">
        <w:rPr>
          <w:color w:val="0070C0"/>
        </w:rPr>
        <w:t xml:space="preserve">afe and secure </w:t>
      </w:r>
      <w:r w:rsidRPr="00A62754">
        <w:rPr>
          <w:color w:val="0070C0"/>
        </w:rPr>
        <w:t xml:space="preserve">correctional and detention facilities </w:t>
      </w:r>
    </w:p>
    <w:p w:rsidR="00A43712" w:rsidRPr="00A62754" w:rsidRDefault="0076568A" w:rsidP="002053BF">
      <w:pPr>
        <w:pStyle w:val="ListParagraph"/>
        <w:numPr>
          <w:ilvl w:val="0"/>
          <w:numId w:val="3"/>
        </w:numPr>
        <w:rPr>
          <w:color w:val="0070C0"/>
        </w:rPr>
      </w:pPr>
      <w:r>
        <w:rPr>
          <w:color w:val="0070C0"/>
        </w:rPr>
        <w:t xml:space="preserve">High performance achieved by </w:t>
      </w:r>
      <w:r w:rsidR="00DC597F" w:rsidRPr="00A62754">
        <w:rPr>
          <w:color w:val="0070C0"/>
        </w:rPr>
        <w:t>hold</w:t>
      </w:r>
      <w:r>
        <w:rPr>
          <w:color w:val="0070C0"/>
        </w:rPr>
        <w:t>ing</w:t>
      </w:r>
      <w:r w:rsidR="00DC597F" w:rsidRPr="00A62754">
        <w:rPr>
          <w:color w:val="0070C0"/>
        </w:rPr>
        <w:t xml:space="preserve"> </w:t>
      </w:r>
      <w:r w:rsidR="002D37C9">
        <w:rPr>
          <w:color w:val="0070C0"/>
        </w:rPr>
        <w:t>correctional</w:t>
      </w:r>
      <w:r w:rsidR="00DC597F" w:rsidRPr="00A62754">
        <w:rPr>
          <w:color w:val="0070C0"/>
        </w:rPr>
        <w:t xml:space="preserve"> and detention facilities accountable</w:t>
      </w:r>
    </w:p>
    <w:p w:rsidR="00511177" w:rsidRDefault="00263862" w:rsidP="00511177">
      <w:r>
        <w:t xml:space="preserve">Not every state chooses to contract for prison </w:t>
      </w:r>
      <w:r w:rsidR="00870D21">
        <w:t xml:space="preserve">and detention </w:t>
      </w:r>
      <w:r>
        <w:t>management, and a small number of states oppose the practice. The opposition to contract</w:t>
      </w:r>
      <w:r w:rsidR="0051259F">
        <w:t xml:space="preserve">ing </w:t>
      </w:r>
      <w:r w:rsidR="00443AC9">
        <w:t>is premise</w:t>
      </w:r>
      <w:r>
        <w:t xml:space="preserve">d on a number of false assumptions about the </w:t>
      </w:r>
      <w:r w:rsidR="000A635C">
        <w:t>performance</w:t>
      </w:r>
      <w:r>
        <w:t xml:space="preserve"> of contract </w:t>
      </w:r>
      <w:r w:rsidR="002C580E">
        <w:t>correctional</w:t>
      </w:r>
      <w:r>
        <w:t xml:space="preserve"> and detention centers and the role they currently play in our justice </w:t>
      </w:r>
      <w:r w:rsidR="00870D21">
        <w:t xml:space="preserve">and immigration </w:t>
      </w:r>
      <w:r>
        <w:t>system</w:t>
      </w:r>
      <w:r w:rsidR="00DC597F">
        <w:t>s</w:t>
      </w:r>
      <w:r>
        <w:t xml:space="preserve">. The purpose of this paper is to </w:t>
      </w:r>
      <w:r w:rsidR="00191A3F">
        <w:t>provide and assessment of the</w:t>
      </w:r>
      <w:r>
        <w:t xml:space="preserve"> value of contracting as a tool for effectively managing </w:t>
      </w:r>
      <w:r w:rsidR="00E15C27">
        <w:t xml:space="preserve">high-performing </w:t>
      </w:r>
      <w:r w:rsidR="00336E85">
        <w:t>correctional</w:t>
      </w:r>
      <w:r>
        <w:t xml:space="preserve"> and detention facilities</w:t>
      </w:r>
      <w:r w:rsidR="00E15C27">
        <w:t xml:space="preserve">. While highlighting the benefits, the paper will also </w:t>
      </w:r>
      <w:r w:rsidR="00DC597F">
        <w:t>correc</w:t>
      </w:r>
      <w:r w:rsidR="00DA4C50">
        <w:t xml:space="preserve">t some </w:t>
      </w:r>
      <w:r w:rsidR="00DC597F">
        <w:t xml:space="preserve">common misperceptions. </w:t>
      </w:r>
      <w:r w:rsidR="00E15C27">
        <w:t xml:space="preserve">It’s time to </w:t>
      </w:r>
      <w:r>
        <w:t xml:space="preserve">set the record straight </w:t>
      </w:r>
      <w:r w:rsidR="00E15C27">
        <w:t xml:space="preserve">and take </w:t>
      </w:r>
      <w:r w:rsidR="00A1076A">
        <w:t xml:space="preserve">a </w:t>
      </w:r>
      <w:r w:rsidR="00E15C27">
        <w:t>close</w:t>
      </w:r>
      <w:r w:rsidR="00A1076A">
        <w:t>r</w:t>
      </w:r>
      <w:r w:rsidR="00E15C27">
        <w:t xml:space="preserve"> look at </w:t>
      </w:r>
      <w:r>
        <w:t>the benefits</w:t>
      </w:r>
      <w:r w:rsidR="00E15C27">
        <w:t xml:space="preserve"> of contracti</w:t>
      </w:r>
      <w:r w:rsidR="0051259F">
        <w:t>ng</w:t>
      </w:r>
      <w:r w:rsidR="00E15C27">
        <w:t xml:space="preserve"> for performance in prison and detention management.</w:t>
      </w:r>
      <w:r>
        <w:t xml:space="preserve"> </w:t>
      </w:r>
    </w:p>
    <w:p w:rsidR="003C2524" w:rsidRDefault="00A5579C" w:rsidP="00511177">
      <w:pPr>
        <w:pStyle w:val="Heading1"/>
      </w:pPr>
      <w:r>
        <w:t>Background</w:t>
      </w:r>
      <w:r w:rsidR="00C14939">
        <w:t xml:space="preserve"> on contracting for performance in prison and detention management</w:t>
      </w:r>
      <w:r w:rsidR="007C189E">
        <w:t xml:space="preserve"> </w:t>
      </w:r>
    </w:p>
    <w:p w:rsidR="0048044B" w:rsidRDefault="005F6F70" w:rsidP="005F6F70">
      <w:pPr>
        <w:pStyle w:val="Heading2"/>
      </w:pPr>
      <w:r>
        <w:t>Prison Management</w:t>
      </w:r>
    </w:p>
    <w:p w:rsidR="00874E7E" w:rsidRDefault="00874E7E" w:rsidP="00874E7E">
      <w:r>
        <w:t xml:space="preserve">In prison management, </w:t>
      </w:r>
      <w:r w:rsidR="0076568A">
        <w:t>27</w:t>
      </w:r>
      <w:r>
        <w:t xml:space="preserve"> state corrections agencies and the federal government use contracting for performance</w:t>
      </w:r>
      <w:r w:rsidR="00BF61E2">
        <w:t xml:space="preserve"> to safely house and rehabilitate incarcerated men and women</w:t>
      </w:r>
      <w:r>
        <w:t>.</w:t>
      </w:r>
      <w:r w:rsidR="00A426B3">
        <w:rPr>
          <w:rStyle w:val="EndnoteReference"/>
        </w:rPr>
        <w:endnoteReference w:id="1"/>
      </w:r>
      <w:r>
        <w:t xml:space="preserve"> Approximately nine percent of all state and federal prison inmates are housed in contract prison</w:t>
      </w:r>
      <w:r w:rsidR="000308F8">
        <w:t>s</w:t>
      </w:r>
      <w:r>
        <w:t>.</w:t>
      </w:r>
      <w:r w:rsidR="00BF61E2">
        <w:rPr>
          <w:rStyle w:val="EndnoteReference"/>
        </w:rPr>
        <w:endnoteReference w:id="2"/>
      </w:r>
    </w:p>
    <w:p w:rsidR="00874E7E" w:rsidRDefault="00874E7E" w:rsidP="00874E7E">
      <w:r>
        <w:t xml:space="preserve">Contracting for performance in prison management began in the 1980s, during a time of rapid growth in state and federal prison populations. </w:t>
      </w:r>
      <w:r w:rsidR="007F3702">
        <w:t>T</w:t>
      </w:r>
      <w:r>
        <w:t>ough-on-crime sentencing policies</w:t>
      </w:r>
      <w:r w:rsidR="00A426B3">
        <w:rPr>
          <w:rStyle w:val="EndnoteReference"/>
        </w:rPr>
        <w:endnoteReference w:id="3"/>
      </w:r>
      <w:r w:rsidR="00240448">
        <w:t xml:space="preserve"> </w:t>
      </w:r>
      <w:r>
        <w:t xml:space="preserve">and increases in prosecutions </w:t>
      </w:r>
      <w:r w:rsidR="00642579">
        <w:t>contributed</w:t>
      </w:r>
      <w:r>
        <w:t xml:space="preserve"> to four decades of sustained prison growth</w:t>
      </w:r>
      <w:r w:rsidR="007C7BA1">
        <w:t>.</w:t>
      </w:r>
      <w:r w:rsidR="00A426B3">
        <w:rPr>
          <w:rStyle w:val="EndnoteReference"/>
        </w:rPr>
        <w:endnoteReference w:id="4"/>
      </w:r>
      <w:r w:rsidR="007C7BA1">
        <w:t xml:space="preserve"> </w:t>
      </w:r>
      <w:r>
        <w:t>Contracting for performance emerged during this time to</w:t>
      </w:r>
      <w:r w:rsidR="00630C5A">
        <w:t xml:space="preserve"> alleviate overcrowding</w:t>
      </w:r>
      <w:r w:rsidR="0076568A">
        <w:t xml:space="preserve"> and the inhumane conditions that resulted</w:t>
      </w:r>
      <w:r w:rsidR="00630C5A">
        <w:t>,</w:t>
      </w:r>
      <w:r>
        <w:t xml:space="preserve"> provide a safe and secure environment for inmates, help corrections agencies control their budgets, and provide quality rehabilitative services.</w:t>
      </w:r>
    </w:p>
    <w:p w:rsidR="00BF61E2" w:rsidRDefault="00BF61E2" w:rsidP="00BF61E2">
      <w:r>
        <w:t>With contracting for performance in prison management, government entities</w:t>
      </w:r>
      <w:r w:rsidR="00D976B5">
        <w:t xml:space="preserve"> (elected officials, law enforcement, prosecutors, courts, and correctional agencies)</w:t>
      </w:r>
      <w:r>
        <w:t xml:space="preserve"> retain the responsibility to oversee the criminal justice system. Contract</w:t>
      </w:r>
      <w:r w:rsidR="00630C5A">
        <w:t>ors of</w:t>
      </w:r>
      <w:r>
        <w:t xml:space="preserve"> prisons do not set criminal justice p</w:t>
      </w:r>
      <w:r w:rsidR="007C7BA1">
        <w:t>olicies, make arrests, sentence</w:t>
      </w:r>
      <w:r>
        <w:t xml:space="preserve"> offenders, or </w:t>
      </w:r>
      <w:r w:rsidR="00D976B5">
        <w:t xml:space="preserve">determine </w:t>
      </w:r>
      <w:r w:rsidR="003E7223">
        <w:t xml:space="preserve">to </w:t>
      </w:r>
      <w:r w:rsidR="00D976B5">
        <w:t xml:space="preserve">which facility a sentenced offender is assigned. </w:t>
      </w:r>
      <w:r w:rsidRPr="00CA462E">
        <w:t xml:space="preserve">Figure </w:t>
      </w:r>
      <w:r w:rsidR="00642579" w:rsidRPr="00CA462E">
        <w:t>1</w:t>
      </w:r>
      <w:r w:rsidRPr="00CA462E">
        <w:t xml:space="preserve"> shows</w:t>
      </w:r>
      <w:r>
        <w:t xml:space="preserve"> the key </w:t>
      </w:r>
      <w:r w:rsidR="00E44AD9">
        <w:t>roles and responsibilities within</w:t>
      </w:r>
      <w:r>
        <w:t xml:space="preserve"> </w:t>
      </w:r>
      <w:r w:rsidR="00D022D8">
        <w:t xml:space="preserve">the </w:t>
      </w:r>
      <w:r>
        <w:t>criminal justice system</w:t>
      </w:r>
      <w:r w:rsidR="00491E1D">
        <w:t xml:space="preserve">. </w:t>
      </w:r>
      <w:r w:rsidR="00B04BC3">
        <w:t>T</w:t>
      </w:r>
      <w:r>
        <w:t xml:space="preserve">he </w:t>
      </w:r>
      <w:r w:rsidRPr="00746A8D">
        <w:t>role of contract</w:t>
      </w:r>
      <w:r w:rsidR="0000055A">
        <w:t>ors</w:t>
      </w:r>
      <w:r w:rsidRPr="00746A8D">
        <w:t xml:space="preserve"> </w:t>
      </w:r>
      <w:r w:rsidR="00B04BC3">
        <w:t xml:space="preserve">in this system </w:t>
      </w:r>
      <w:r w:rsidRPr="00746A8D">
        <w:t xml:space="preserve">is limited </w:t>
      </w:r>
      <w:r w:rsidR="0000055A">
        <w:t xml:space="preserve">to </w:t>
      </w:r>
      <w:r w:rsidR="00491E1D">
        <w:t>prison ope</w:t>
      </w:r>
      <w:r w:rsidR="00E44AD9">
        <w:t>rations</w:t>
      </w:r>
      <w:r w:rsidR="00B04BC3">
        <w:t>,</w:t>
      </w:r>
      <w:r w:rsidR="00E44AD9">
        <w:t xml:space="preserve"> </w:t>
      </w:r>
      <w:r w:rsidR="00491E1D">
        <w:t>with direct</w:t>
      </w:r>
      <w:r w:rsidR="0076568A">
        <w:t>, daily</w:t>
      </w:r>
      <w:r w:rsidR="00491E1D">
        <w:t xml:space="preserve"> oversight from government. </w:t>
      </w:r>
    </w:p>
    <w:p w:rsidR="00491E1D" w:rsidRPr="0006366E" w:rsidRDefault="00491E1D" w:rsidP="00491E1D">
      <w:pPr>
        <w:pStyle w:val="Caption"/>
        <w:keepNext/>
        <w:rPr>
          <w:color w:val="0070C0"/>
          <w:sz w:val="24"/>
          <w:szCs w:val="24"/>
        </w:rPr>
      </w:pPr>
      <w:r w:rsidRPr="0006366E">
        <w:rPr>
          <w:color w:val="0070C0"/>
          <w:sz w:val="24"/>
          <w:szCs w:val="24"/>
        </w:rPr>
        <w:lastRenderedPageBreak/>
        <w:t xml:space="preserve">Figure </w:t>
      </w:r>
      <w:r w:rsidR="00520FCB" w:rsidRPr="0006366E">
        <w:rPr>
          <w:noProof/>
          <w:color w:val="0070C0"/>
          <w:sz w:val="24"/>
          <w:szCs w:val="24"/>
        </w:rPr>
        <w:fldChar w:fldCharType="begin"/>
      </w:r>
      <w:r w:rsidR="00520FCB" w:rsidRPr="0006366E">
        <w:rPr>
          <w:noProof/>
          <w:color w:val="0070C0"/>
          <w:sz w:val="24"/>
          <w:szCs w:val="24"/>
        </w:rPr>
        <w:instrText xml:space="preserve"> SEQ Figure \* ARABIC </w:instrText>
      </w:r>
      <w:r w:rsidR="00520FCB" w:rsidRPr="0006366E">
        <w:rPr>
          <w:noProof/>
          <w:color w:val="0070C0"/>
          <w:sz w:val="24"/>
          <w:szCs w:val="24"/>
        </w:rPr>
        <w:fldChar w:fldCharType="separate"/>
      </w:r>
      <w:r w:rsidR="008571A0">
        <w:rPr>
          <w:noProof/>
          <w:color w:val="0070C0"/>
          <w:sz w:val="24"/>
          <w:szCs w:val="24"/>
        </w:rPr>
        <w:t>1</w:t>
      </w:r>
      <w:r w:rsidR="00520FCB" w:rsidRPr="0006366E">
        <w:rPr>
          <w:noProof/>
          <w:color w:val="0070C0"/>
          <w:sz w:val="24"/>
          <w:szCs w:val="24"/>
        </w:rPr>
        <w:fldChar w:fldCharType="end"/>
      </w:r>
      <w:r w:rsidRPr="0006366E">
        <w:rPr>
          <w:color w:val="0070C0"/>
          <w:sz w:val="24"/>
          <w:szCs w:val="24"/>
        </w:rPr>
        <w:t>. The criminal justice system and the role of contract</w:t>
      </w:r>
      <w:r w:rsidR="00586373" w:rsidRPr="0006366E">
        <w:rPr>
          <w:color w:val="0070C0"/>
          <w:sz w:val="24"/>
          <w:szCs w:val="24"/>
        </w:rPr>
        <w:t xml:space="preserve">ors of </w:t>
      </w:r>
      <w:r w:rsidRPr="0006366E">
        <w:rPr>
          <w:color w:val="0070C0"/>
          <w:sz w:val="24"/>
          <w:szCs w:val="24"/>
        </w:rPr>
        <w:t>prison facilities</w:t>
      </w:r>
    </w:p>
    <w:tbl>
      <w:tblPr>
        <w:tblStyle w:val="TableGrid"/>
        <w:tblW w:w="9353" w:type="dxa"/>
        <w:tblBorders>
          <w:top w:val="single" w:sz="18" w:space="0" w:color="0070C0"/>
          <w:left w:val="single" w:sz="18" w:space="0" w:color="0070C0"/>
          <w:bottom w:val="single" w:sz="18" w:space="0" w:color="0070C0"/>
          <w:right w:val="single" w:sz="18" w:space="0" w:color="0070C0"/>
          <w:insideH w:val="none" w:sz="0" w:space="0" w:color="auto"/>
          <w:insideV w:val="single" w:sz="18" w:space="0" w:color="0070C0"/>
        </w:tblBorders>
        <w:shd w:val="clear" w:color="auto" w:fill="0070C0"/>
        <w:tblLook w:val="04A0" w:firstRow="1" w:lastRow="0" w:firstColumn="1" w:lastColumn="0" w:noHBand="0" w:noVBand="1"/>
      </w:tblPr>
      <w:tblGrid>
        <w:gridCol w:w="2497"/>
        <w:gridCol w:w="3150"/>
        <w:gridCol w:w="3706"/>
      </w:tblGrid>
      <w:tr w:rsidR="003F6476" w:rsidRPr="00FF4D03" w:rsidTr="005A2685">
        <w:trPr>
          <w:trHeight w:val="376"/>
        </w:trPr>
        <w:tc>
          <w:tcPr>
            <w:tcW w:w="5647" w:type="dxa"/>
            <w:gridSpan w:val="2"/>
            <w:shd w:val="clear" w:color="auto" w:fill="0070C0"/>
          </w:tcPr>
          <w:p w:rsidR="003F6476" w:rsidRPr="0048213E" w:rsidRDefault="00693A63" w:rsidP="005A2685">
            <w:pPr>
              <w:rPr>
                <w:b/>
                <w:color w:val="FFFFFF" w:themeColor="background1"/>
                <w:sz w:val="28"/>
                <w:szCs w:val="28"/>
              </w:rPr>
            </w:pPr>
            <w:r w:rsidRPr="00FF4D03">
              <w:rPr>
                <w:b/>
                <w:color w:val="FFFFFF" w:themeColor="background1"/>
                <w:sz w:val="28"/>
                <w:szCs w:val="28"/>
              </w:rPr>
              <w:t xml:space="preserve">Government </w:t>
            </w:r>
            <w:r w:rsidR="001A3A35">
              <w:rPr>
                <w:b/>
                <w:color w:val="FFFFFF" w:themeColor="background1"/>
                <w:sz w:val="28"/>
                <w:szCs w:val="28"/>
              </w:rPr>
              <w:t>R</w:t>
            </w:r>
            <w:r>
              <w:rPr>
                <w:b/>
                <w:color w:val="FFFFFF" w:themeColor="background1"/>
                <w:sz w:val="28"/>
                <w:szCs w:val="28"/>
              </w:rPr>
              <w:t>ole</w:t>
            </w:r>
          </w:p>
        </w:tc>
        <w:tc>
          <w:tcPr>
            <w:tcW w:w="3706" w:type="dxa"/>
            <w:shd w:val="clear" w:color="auto" w:fill="FFFFFF" w:themeFill="background1"/>
          </w:tcPr>
          <w:p w:rsidR="003F6476" w:rsidRPr="00FF4D03" w:rsidRDefault="00693A63" w:rsidP="005A2685">
            <w:pPr>
              <w:rPr>
                <w:b/>
                <w:color w:val="0070C0"/>
                <w:sz w:val="28"/>
                <w:szCs w:val="28"/>
              </w:rPr>
            </w:pPr>
            <w:r w:rsidRPr="00FF4D03">
              <w:rPr>
                <w:b/>
                <w:color w:val="0070C0"/>
                <w:sz w:val="28"/>
                <w:szCs w:val="28"/>
              </w:rPr>
              <w:t>Contract</w:t>
            </w:r>
            <w:r w:rsidR="001A3A35">
              <w:rPr>
                <w:b/>
                <w:color w:val="0070C0"/>
                <w:sz w:val="28"/>
                <w:szCs w:val="28"/>
              </w:rPr>
              <w:t>or R</w:t>
            </w:r>
            <w:r>
              <w:rPr>
                <w:b/>
                <w:color w:val="0070C0"/>
                <w:sz w:val="28"/>
                <w:szCs w:val="28"/>
              </w:rPr>
              <w:t>ole</w:t>
            </w:r>
          </w:p>
        </w:tc>
      </w:tr>
      <w:tr w:rsidR="005A2685" w:rsidRPr="00FF4D03" w:rsidTr="008D458B">
        <w:trPr>
          <w:trHeight w:val="376"/>
        </w:trPr>
        <w:tc>
          <w:tcPr>
            <w:tcW w:w="2497" w:type="dxa"/>
            <w:shd w:val="clear" w:color="auto" w:fill="0070C0"/>
          </w:tcPr>
          <w:p w:rsidR="003F6476" w:rsidRPr="00FF4D03" w:rsidRDefault="00693A63" w:rsidP="003F6476">
            <w:pPr>
              <w:pStyle w:val="ListParagraph"/>
              <w:numPr>
                <w:ilvl w:val="0"/>
                <w:numId w:val="22"/>
              </w:numPr>
              <w:rPr>
                <w:color w:val="FFFFFF" w:themeColor="background1"/>
              </w:rPr>
            </w:pPr>
            <w:r w:rsidRPr="00FF4D03">
              <w:rPr>
                <w:color w:val="FFFFFF" w:themeColor="background1"/>
              </w:rPr>
              <w:t xml:space="preserve">Legislation </w:t>
            </w:r>
          </w:p>
          <w:p w:rsidR="003F6476" w:rsidRPr="00FF4D03" w:rsidRDefault="00693A63" w:rsidP="003F6476">
            <w:pPr>
              <w:pStyle w:val="ListParagraph"/>
              <w:numPr>
                <w:ilvl w:val="0"/>
                <w:numId w:val="22"/>
              </w:numPr>
              <w:rPr>
                <w:color w:val="FFFFFF" w:themeColor="background1"/>
              </w:rPr>
            </w:pPr>
            <w:r w:rsidRPr="00FF4D03">
              <w:rPr>
                <w:color w:val="FFFFFF" w:themeColor="background1"/>
              </w:rPr>
              <w:t>Penal code</w:t>
            </w:r>
          </w:p>
          <w:p w:rsidR="003F6476" w:rsidRDefault="00693A63" w:rsidP="003F6476">
            <w:pPr>
              <w:pStyle w:val="ListParagraph"/>
              <w:numPr>
                <w:ilvl w:val="0"/>
                <w:numId w:val="22"/>
              </w:numPr>
              <w:rPr>
                <w:color w:val="FFFFFF" w:themeColor="background1"/>
              </w:rPr>
            </w:pPr>
            <w:r>
              <w:rPr>
                <w:color w:val="FFFFFF" w:themeColor="background1"/>
              </w:rPr>
              <w:t>Arrest</w:t>
            </w:r>
          </w:p>
          <w:p w:rsidR="00026969" w:rsidRDefault="00693A63" w:rsidP="003F6476">
            <w:pPr>
              <w:pStyle w:val="ListParagraph"/>
              <w:numPr>
                <w:ilvl w:val="0"/>
                <w:numId w:val="22"/>
              </w:numPr>
              <w:rPr>
                <w:color w:val="FFFFFF" w:themeColor="background1"/>
              </w:rPr>
            </w:pPr>
            <w:r>
              <w:rPr>
                <w:color w:val="FFFFFF" w:themeColor="background1"/>
              </w:rPr>
              <w:t>Trial</w:t>
            </w:r>
          </w:p>
          <w:p w:rsidR="003F6476" w:rsidRPr="0048213E" w:rsidRDefault="00693A63" w:rsidP="003F6476">
            <w:pPr>
              <w:pStyle w:val="ListParagraph"/>
              <w:numPr>
                <w:ilvl w:val="0"/>
                <w:numId w:val="22"/>
              </w:numPr>
              <w:rPr>
                <w:color w:val="FFFFFF" w:themeColor="background1"/>
              </w:rPr>
            </w:pPr>
            <w:r w:rsidRPr="00FF4D03">
              <w:rPr>
                <w:color w:val="FFFFFF" w:themeColor="background1"/>
              </w:rPr>
              <w:t>Conviction</w:t>
            </w:r>
          </w:p>
        </w:tc>
        <w:tc>
          <w:tcPr>
            <w:tcW w:w="3150" w:type="dxa"/>
            <w:shd w:val="clear" w:color="auto" w:fill="0070C0"/>
          </w:tcPr>
          <w:p w:rsidR="003F6476" w:rsidRDefault="00693A63" w:rsidP="003F6476">
            <w:pPr>
              <w:pStyle w:val="ListParagraph"/>
              <w:numPr>
                <w:ilvl w:val="0"/>
                <w:numId w:val="22"/>
              </w:numPr>
              <w:rPr>
                <w:color w:val="FFFFFF" w:themeColor="background1"/>
              </w:rPr>
            </w:pPr>
            <w:r w:rsidRPr="00FF4D03">
              <w:rPr>
                <w:color w:val="FFFFFF" w:themeColor="background1"/>
              </w:rPr>
              <w:t>Sentencing</w:t>
            </w:r>
          </w:p>
          <w:p w:rsidR="003F6476" w:rsidRPr="00FF4D03" w:rsidRDefault="00693A63" w:rsidP="003F6476">
            <w:pPr>
              <w:pStyle w:val="ListParagraph"/>
              <w:numPr>
                <w:ilvl w:val="0"/>
                <w:numId w:val="22"/>
              </w:numPr>
              <w:rPr>
                <w:color w:val="FFFFFF" w:themeColor="background1"/>
              </w:rPr>
            </w:pPr>
            <w:r w:rsidRPr="00FF4D03">
              <w:rPr>
                <w:color w:val="FFFFFF" w:themeColor="background1"/>
              </w:rPr>
              <w:t>Classification</w:t>
            </w:r>
          </w:p>
          <w:p w:rsidR="003F6476" w:rsidRDefault="00693A63" w:rsidP="003F6476">
            <w:pPr>
              <w:pStyle w:val="ListParagraph"/>
              <w:numPr>
                <w:ilvl w:val="0"/>
                <w:numId w:val="22"/>
              </w:numPr>
              <w:rPr>
                <w:color w:val="FFFFFF" w:themeColor="background1"/>
              </w:rPr>
            </w:pPr>
            <w:r w:rsidRPr="00FF4D03">
              <w:rPr>
                <w:color w:val="FFFFFF" w:themeColor="background1"/>
              </w:rPr>
              <w:t>Assignment</w:t>
            </w:r>
          </w:p>
          <w:p w:rsidR="003F6476" w:rsidRDefault="00693A63" w:rsidP="003F6476">
            <w:pPr>
              <w:pStyle w:val="ListParagraph"/>
              <w:numPr>
                <w:ilvl w:val="0"/>
                <w:numId w:val="22"/>
              </w:numPr>
              <w:rPr>
                <w:color w:val="FFFFFF" w:themeColor="background1"/>
              </w:rPr>
            </w:pPr>
            <w:r>
              <w:rPr>
                <w:color w:val="FFFFFF" w:themeColor="background1"/>
              </w:rPr>
              <w:t>Prison operation</w:t>
            </w:r>
          </w:p>
          <w:p w:rsidR="00026969" w:rsidRPr="0048213E" w:rsidRDefault="00693A63" w:rsidP="003F6476">
            <w:pPr>
              <w:pStyle w:val="ListParagraph"/>
              <w:numPr>
                <w:ilvl w:val="0"/>
                <w:numId w:val="22"/>
              </w:numPr>
              <w:rPr>
                <w:color w:val="FFFFFF" w:themeColor="background1"/>
              </w:rPr>
            </w:pPr>
            <w:r>
              <w:rPr>
                <w:color w:val="FFFFFF" w:themeColor="background1"/>
              </w:rPr>
              <w:t>Release</w:t>
            </w:r>
          </w:p>
        </w:tc>
        <w:tc>
          <w:tcPr>
            <w:tcW w:w="3706" w:type="dxa"/>
            <w:shd w:val="clear" w:color="auto" w:fill="FFFFFF" w:themeFill="background1"/>
          </w:tcPr>
          <w:p w:rsidR="003F6476" w:rsidRPr="00026969" w:rsidRDefault="00693A63" w:rsidP="003F6476">
            <w:pPr>
              <w:pStyle w:val="ListParagraph"/>
              <w:numPr>
                <w:ilvl w:val="0"/>
                <w:numId w:val="23"/>
              </w:numPr>
              <w:rPr>
                <w:color w:val="FFFFFF" w:themeColor="background1"/>
              </w:rPr>
            </w:pPr>
            <w:r>
              <w:rPr>
                <w:color w:val="0070C0"/>
              </w:rPr>
              <w:t>Prison operation</w:t>
            </w:r>
          </w:p>
          <w:p w:rsidR="00026969" w:rsidRPr="00FF4D03" w:rsidRDefault="00693A63" w:rsidP="00026969">
            <w:pPr>
              <w:pStyle w:val="ListParagraph"/>
              <w:ind w:left="360"/>
              <w:rPr>
                <w:color w:val="FFFFFF" w:themeColor="background1"/>
              </w:rPr>
            </w:pPr>
            <w:r>
              <w:rPr>
                <w:color w:val="0070C0"/>
              </w:rPr>
              <w:t>(with daily government oversight)</w:t>
            </w:r>
          </w:p>
        </w:tc>
      </w:tr>
    </w:tbl>
    <w:p w:rsidR="003E7223" w:rsidRDefault="003E7223" w:rsidP="003E7223">
      <w:pPr>
        <w:pStyle w:val="Heading2"/>
      </w:pPr>
      <w:r>
        <w:t>Detention Management</w:t>
      </w:r>
    </w:p>
    <w:p w:rsidR="008D3E33" w:rsidRDefault="00874E7E" w:rsidP="00874E7E">
      <w:r>
        <w:t xml:space="preserve">In the immigration detention system, </w:t>
      </w:r>
      <w:r w:rsidR="00FB3BCF">
        <w:t>approximately</w:t>
      </w:r>
      <w:r>
        <w:t xml:space="preserve"> 65 percent of immigrant detainees </w:t>
      </w:r>
      <w:r w:rsidR="00FB3BCF">
        <w:t xml:space="preserve">are </w:t>
      </w:r>
      <w:r>
        <w:t>housed in contract detention facilities</w:t>
      </w:r>
      <w:r w:rsidR="00B50A1F">
        <w:t xml:space="preserve">, 25 percent </w:t>
      </w:r>
      <w:r w:rsidR="000E3577">
        <w:t xml:space="preserve">are </w:t>
      </w:r>
      <w:r w:rsidR="00B50A1F">
        <w:t>housed in local jails, and just ten percent in government-operated facilities</w:t>
      </w:r>
      <w:r>
        <w:t>.</w:t>
      </w:r>
      <w:r w:rsidR="00F30335">
        <w:rPr>
          <w:rStyle w:val="EndnoteReference"/>
        </w:rPr>
        <w:endnoteReference w:id="5"/>
      </w:r>
      <w:r w:rsidR="00F30335">
        <w:t xml:space="preserve"> </w:t>
      </w:r>
      <w:r>
        <w:t xml:space="preserve">The federal government uses contracting for performance </w:t>
      </w:r>
      <w:r w:rsidR="00B50A1F">
        <w:t xml:space="preserve">in detention </w:t>
      </w:r>
      <w:r>
        <w:t xml:space="preserve">because the government lacks the necessary infrastructure to house immigrant detainees in a safe environment that is best suited </w:t>
      </w:r>
      <w:r w:rsidR="003E7223">
        <w:t>to their</w:t>
      </w:r>
      <w:r>
        <w:t xml:space="preserve"> needs.</w:t>
      </w:r>
      <w:r w:rsidR="00CE24BC">
        <w:t xml:space="preserve"> </w:t>
      </w:r>
      <w:r w:rsidR="003E7223">
        <w:t xml:space="preserve">According to a </w:t>
      </w:r>
      <w:r w:rsidR="00CE24BC" w:rsidRPr="003E7223">
        <w:t>2016 Homeland Security Advisory Council report</w:t>
      </w:r>
      <w:r w:rsidR="003E7223">
        <w:rPr>
          <w:color w:val="17365D" w:themeColor="text2" w:themeShade="BF"/>
        </w:rPr>
        <w:t>:</w:t>
      </w:r>
      <w:r w:rsidR="00CE24BC" w:rsidRPr="003E7223">
        <w:t xml:space="preserve"> </w:t>
      </w:r>
    </w:p>
    <w:p w:rsidR="00874E7E" w:rsidRPr="00693A63" w:rsidRDefault="00693A63" w:rsidP="008D3E33">
      <w:pPr>
        <w:pStyle w:val="IntenseQuote"/>
        <w:rPr>
          <w:rStyle w:val="IntenseReference"/>
          <w:smallCaps w:val="0"/>
          <w:color w:val="0070C0"/>
        </w:rPr>
      </w:pPr>
      <w:r w:rsidRPr="00693A63">
        <w:rPr>
          <w:rStyle w:val="IntenseReference"/>
          <w:smallCaps w:val="0"/>
          <w:color w:val="0070C0"/>
        </w:rPr>
        <w:t>U.</w:t>
      </w:r>
      <w:r>
        <w:rPr>
          <w:rStyle w:val="IntenseReference"/>
          <w:smallCaps w:val="0"/>
          <w:color w:val="0070C0"/>
        </w:rPr>
        <w:t>S</w:t>
      </w:r>
      <w:r w:rsidRPr="00693A63">
        <w:rPr>
          <w:rStyle w:val="IntenseReference"/>
          <w:smallCaps w:val="0"/>
          <w:color w:val="0070C0"/>
        </w:rPr>
        <w:t xml:space="preserve">. Immigration and </w:t>
      </w:r>
      <w:r>
        <w:rPr>
          <w:rStyle w:val="IntenseReference"/>
          <w:smallCaps w:val="0"/>
          <w:color w:val="0070C0"/>
        </w:rPr>
        <w:t>C</w:t>
      </w:r>
      <w:r w:rsidRPr="00693A63">
        <w:rPr>
          <w:rStyle w:val="IntenseReference"/>
          <w:smallCaps w:val="0"/>
          <w:color w:val="0070C0"/>
        </w:rPr>
        <w:t xml:space="preserve">ustoms </w:t>
      </w:r>
      <w:r>
        <w:rPr>
          <w:rStyle w:val="IntenseReference"/>
          <w:smallCaps w:val="0"/>
          <w:color w:val="0070C0"/>
        </w:rPr>
        <w:t>E</w:t>
      </w:r>
      <w:r w:rsidRPr="00693A63">
        <w:rPr>
          <w:rStyle w:val="IntenseReference"/>
          <w:smallCaps w:val="0"/>
          <w:color w:val="0070C0"/>
        </w:rPr>
        <w:t>nforcement (ICE) estimated that the cost of purchasing, constructing, or leasing enough government-owned and operated detention facilities to meet current needs would “exceed $1.3 billion and could be as much as $5-6 billion.”</w:t>
      </w:r>
      <w:r w:rsidR="00F30335" w:rsidRPr="00693A63">
        <w:rPr>
          <w:rStyle w:val="IntenseReference"/>
          <w:smallCaps w:val="0"/>
          <w:color w:val="0070C0"/>
          <w:vertAlign w:val="superscript"/>
        </w:rPr>
        <w:endnoteReference w:id="6"/>
      </w:r>
      <w:r w:rsidRPr="00693A63">
        <w:rPr>
          <w:rStyle w:val="IntenseReference"/>
          <w:smallCaps w:val="0"/>
          <w:color w:val="0070C0"/>
          <w:vertAlign w:val="superscript"/>
        </w:rPr>
        <w:t xml:space="preserve"> </w:t>
      </w:r>
    </w:p>
    <w:p w:rsidR="00E44AD9" w:rsidRDefault="00FB3BCF" w:rsidP="00CA73F5">
      <w:r>
        <w:t>With</w:t>
      </w:r>
      <w:r w:rsidR="00FC2824">
        <w:t xml:space="preserve"> contracting</w:t>
      </w:r>
      <w:r>
        <w:t xml:space="preserve">, the federal government retains the responsibility to oversee </w:t>
      </w:r>
      <w:r w:rsidR="007F3702">
        <w:t xml:space="preserve">the </w:t>
      </w:r>
      <w:r>
        <w:t>immigration system. Contract</w:t>
      </w:r>
      <w:r w:rsidR="00753B3B">
        <w:t>ors of</w:t>
      </w:r>
      <w:r>
        <w:t xml:space="preserve"> detention facilities do not set immigration policies, apprehend immigrants, determine who should be detained, or determine </w:t>
      </w:r>
      <w:r w:rsidR="005B31A4">
        <w:t>to</w:t>
      </w:r>
      <w:r w:rsidR="00753B3B">
        <w:t xml:space="preserve"> </w:t>
      </w:r>
      <w:r>
        <w:t>which fac</w:t>
      </w:r>
      <w:r w:rsidR="007F3702">
        <w:t xml:space="preserve">ility </w:t>
      </w:r>
      <w:r>
        <w:t xml:space="preserve">a detainee is assigned. </w:t>
      </w:r>
      <w:r w:rsidR="00635546">
        <w:t>Figure 2</w:t>
      </w:r>
      <w:r>
        <w:t xml:space="preserve"> </w:t>
      </w:r>
      <w:r w:rsidR="00ED0334" w:rsidRPr="00CA462E">
        <w:t>shows</w:t>
      </w:r>
      <w:r w:rsidR="00ED0334">
        <w:t xml:space="preserve"> the key roles and responsibilities within </w:t>
      </w:r>
      <w:r w:rsidR="00D022D8">
        <w:t xml:space="preserve">the </w:t>
      </w:r>
      <w:r w:rsidR="00ED0334">
        <w:t xml:space="preserve">immigration system. Within the system, the </w:t>
      </w:r>
      <w:r w:rsidR="00ED0334" w:rsidRPr="00746A8D">
        <w:t>role of contract</w:t>
      </w:r>
      <w:r w:rsidR="00ED0334">
        <w:t>ors</w:t>
      </w:r>
      <w:r w:rsidR="00ED0334" w:rsidRPr="00746A8D">
        <w:t xml:space="preserve"> is limited </w:t>
      </w:r>
      <w:r w:rsidR="00ED0334">
        <w:t>to facility operations with direct</w:t>
      </w:r>
      <w:r w:rsidR="00184F3D">
        <w:t>, daily</w:t>
      </w:r>
      <w:r w:rsidR="00ED0334">
        <w:t xml:space="preserve"> oversight from </w:t>
      </w:r>
      <w:r w:rsidR="006C7518">
        <w:t xml:space="preserve">the </w:t>
      </w:r>
      <w:r w:rsidR="00ED0334">
        <w:t xml:space="preserve">government. </w:t>
      </w:r>
    </w:p>
    <w:tbl>
      <w:tblPr>
        <w:tblStyle w:val="TableGrid"/>
        <w:tblpPr w:leftFromText="187" w:rightFromText="187" w:bottomFromText="187" w:vertAnchor="text" w:horzAnchor="margin" w:tblpY="412"/>
        <w:tblW w:w="9353" w:type="dxa"/>
        <w:tblBorders>
          <w:top w:val="single" w:sz="18" w:space="0" w:color="0070C0"/>
          <w:left w:val="single" w:sz="18" w:space="0" w:color="0070C0"/>
          <w:bottom w:val="single" w:sz="18" w:space="0" w:color="0070C0"/>
          <w:right w:val="single" w:sz="18" w:space="0" w:color="0070C0"/>
          <w:insideH w:val="none" w:sz="0" w:space="0" w:color="auto"/>
          <w:insideV w:val="single" w:sz="18" w:space="0" w:color="0070C0"/>
        </w:tblBorders>
        <w:shd w:val="clear" w:color="auto" w:fill="0070C0"/>
        <w:tblLook w:val="04A0" w:firstRow="1" w:lastRow="0" w:firstColumn="1" w:lastColumn="0" w:noHBand="0" w:noVBand="1"/>
      </w:tblPr>
      <w:tblGrid>
        <w:gridCol w:w="2407"/>
        <w:gridCol w:w="3281"/>
        <w:gridCol w:w="3665"/>
      </w:tblGrid>
      <w:tr w:rsidR="0006366E" w:rsidRPr="00FF4D03" w:rsidTr="0006366E">
        <w:trPr>
          <w:trHeight w:val="376"/>
        </w:trPr>
        <w:tc>
          <w:tcPr>
            <w:tcW w:w="5688" w:type="dxa"/>
            <w:gridSpan w:val="2"/>
            <w:shd w:val="clear" w:color="auto" w:fill="0070C0"/>
          </w:tcPr>
          <w:p w:rsidR="0006366E" w:rsidRPr="0048213E" w:rsidRDefault="001A3A35" w:rsidP="0006366E">
            <w:pPr>
              <w:rPr>
                <w:b/>
                <w:color w:val="FFFFFF" w:themeColor="background1"/>
                <w:sz w:val="28"/>
                <w:szCs w:val="28"/>
              </w:rPr>
            </w:pPr>
            <w:r w:rsidRPr="00FF4D03">
              <w:rPr>
                <w:b/>
                <w:color w:val="FFFFFF" w:themeColor="background1"/>
                <w:sz w:val="28"/>
                <w:szCs w:val="28"/>
              </w:rPr>
              <w:t xml:space="preserve">Government </w:t>
            </w:r>
            <w:r>
              <w:rPr>
                <w:b/>
                <w:color w:val="FFFFFF" w:themeColor="background1"/>
                <w:sz w:val="28"/>
                <w:szCs w:val="28"/>
              </w:rPr>
              <w:t>Role</w:t>
            </w:r>
          </w:p>
        </w:tc>
        <w:tc>
          <w:tcPr>
            <w:tcW w:w="3665" w:type="dxa"/>
            <w:shd w:val="clear" w:color="auto" w:fill="FFFFFF" w:themeFill="background1"/>
          </w:tcPr>
          <w:p w:rsidR="0006366E" w:rsidRPr="00FF4D03" w:rsidRDefault="001A3A35" w:rsidP="0006366E">
            <w:pPr>
              <w:rPr>
                <w:b/>
                <w:color w:val="0070C0"/>
                <w:sz w:val="28"/>
                <w:szCs w:val="28"/>
              </w:rPr>
            </w:pPr>
            <w:r w:rsidRPr="00FF4D03">
              <w:rPr>
                <w:b/>
                <w:color w:val="0070C0"/>
                <w:sz w:val="28"/>
                <w:szCs w:val="28"/>
              </w:rPr>
              <w:t>Contract</w:t>
            </w:r>
            <w:r>
              <w:rPr>
                <w:b/>
                <w:color w:val="0070C0"/>
                <w:sz w:val="28"/>
                <w:szCs w:val="28"/>
              </w:rPr>
              <w:t>or Role</w:t>
            </w:r>
          </w:p>
        </w:tc>
      </w:tr>
      <w:tr w:rsidR="0006366E" w:rsidRPr="00FF4D03" w:rsidTr="0006366E">
        <w:trPr>
          <w:trHeight w:val="376"/>
        </w:trPr>
        <w:tc>
          <w:tcPr>
            <w:tcW w:w="2407" w:type="dxa"/>
            <w:shd w:val="clear" w:color="auto" w:fill="0070C0"/>
          </w:tcPr>
          <w:p w:rsidR="0006366E" w:rsidRPr="00FF4D03" w:rsidRDefault="001A3A35" w:rsidP="0006366E">
            <w:pPr>
              <w:pStyle w:val="ListParagraph"/>
              <w:numPr>
                <w:ilvl w:val="0"/>
                <w:numId w:val="22"/>
              </w:numPr>
              <w:rPr>
                <w:color w:val="FFFFFF" w:themeColor="background1"/>
              </w:rPr>
            </w:pPr>
            <w:r w:rsidRPr="00FF4D03">
              <w:rPr>
                <w:color w:val="FFFFFF" w:themeColor="background1"/>
              </w:rPr>
              <w:t xml:space="preserve">Legislation </w:t>
            </w:r>
          </w:p>
          <w:p w:rsidR="0006366E" w:rsidRPr="00FF4D03" w:rsidRDefault="001A3A35" w:rsidP="0006366E">
            <w:pPr>
              <w:pStyle w:val="ListParagraph"/>
              <w:numPr>
                <w:ilvl w:val="0"/>
                <w:numId w:val="22"/>
              </w:numPr>
              <w:rPr>
                <w:color w:val="FFFFFF" w:themeColor="background1"/>
              </w:rPr>
            </w:pPr>
            <w:r>
              <w:rPr>
                <w:color w:val="FFFFFF" w:themeColor="background1"/>
              </w:rPr>
              <w:t>Immigration law</w:t>
            </w:r>
          </w:p>
          <w:p w:rsidR="0006366E" w:rsidRDefault="001A3A35" w:rsidP="0006366E">
            <w:pPr>
              <w:pStyle w:val="ListParagraph"/>
              <w:numPr>
                <w:ilvl w:val="0"/>
                <w:numId w:val="22"/>
              </w:numPr>
              <w:rPr>
                <w:color w:val="FFFFFF" w:themeColor="background1"/>
              </w:rPr>
            </w:pPr>
            <w:r>
              <w:rPr>
                <w:color w:val="FFFFFF" w:themeColor="background1"/>
              </w:rPr>
              <w:t>Apprehension</w:t>
            </w:r>
          </w:p>
          <w:p w:rsidR="0006366E" w:rsidRPr="00E44AD9" w:rsidRDefault="001A3A35" w:rsidP="0006366E">
            <w:pPr>
              <w:pStyle w:val="ListParagraph"/>
              <w:numPr>
                <w:ilvl w:val="0"/>
                <w:numId w:val="22"/>
              </w:numPr>
              <w:rPr>
                <w:color w:val="FFFFFF" w:themeColor="background1"/>
              </w:rPr>
            </w:pPr>
            <w:r>
              <w:rPr>
                <w:color w:val="FFFFFF" w:themeColor="background1"/>
              </w:rPr>
              <w:t>Detention</w:t>
            </w:r>
          </w:p>
        </w:tc>
        <w:tc>
          <w:tcPr>
            <w:tcW w:w="3281" w:type="dxa"/>
            <w:shd w:val="clear" w:color="auto" w:fill="0070C0"/>
          </w:tcPr>
          <w:p w:rsidR="0006366E" w:rsidRPr="00FF4D03" w:rsidRDefault="001A3A35" w:rsidP="0006366E">
            <w:pPr>
              <w:pStyle w:val="ListParagraph"/>
              <w:numPr>
                <w:ilvl w:val="0"/>
                <w:numId w:val="22"/>
              </w:numPr>
              <w:rPr>
                <w:color w:val="FFFFFF" w:themeColor="background1"/>
              </w:rPr>
            </w:pPr>
            <w:r w:rsidRPr="00FF4D03">
              <w:rPr>
                <w:color w:val="FFFFFF" w:themeColor="background1"/>
              </w:rPr>
              <w:t>Classification</w:t>
            </w:r>
          </w:p>
          <w:p w:rsidR="0006366E" w:rsidRDefault="001A3A35" w:rsidP="0006366E">
            <w:pPr>
              <w:pStyle w:val="ListParagraph"/>
              <w:numPr>
                <w:ilvl w:val="0"/>
                <w:numId w:val="22"/>
              </w:numPr>
              <w:rPr>
                <w:color w:val="FFFFFF" w:themeColor="background1"/>
              </w:rPr>
            </w:pPr>
            <w:r w:rsidRPr="00FF4D03">
              <w:rPr>
                <w:color w:val="FFFFFF" w:themeColor="background1"/>
              </w:rPr>
              <w:t>Assignment</w:t>
            </w:r>
          </w:p>
          <w:p w:rsidR="0006366E" w:rsidRDefault="001A3A35" w:rsidP="0006366E">
            <w:pPr>
              <w:pStyle w:val="ListParagraph"/>
              <w:numPr>
                <w:ilvl w:val="0"/>
                <w:numId w:val="22"/>
              </w:numPr>
              <w:rPr>
                <w:color w:val="FFFFFF" w:themeColor="background1"/>
              </w:rPr>
            </w:pPr>
            <w:r>
              <w:rPr>
                <w:color w:val="FFFFFF" w:themeColor="background1"/>
              </w:rPr>
              <w:t>Facility operation</w:t>
            </w:r>
          </w:p>
          <w:p w:rsidR="0006366E" w:rsidRPr="0048213E" w:rsidRDefault="001A3A35" w:rsidP="0006366E">
            <w:pPr>
              <w:pStyle w:val="ListParagraph"/>
              <w:numPr>
                <w:ilvl w:val="0"/>
                <w:numId w:val="22"/>
              </w:numPr>
              <w:rPr>
                <w:color w:val="FFFFFF" w:themeColor="background1"/>
              </w:rPr>
            </w:pPr>
            <w:r>
              <w:rPr>
                <w:color w:val="FFFFFF" w:themeColor="background1"/>
              </w:rPr>
              <w:t>Release or deportation</w:t>
            </w:r>
          </w:p>
        </w:tc>
        <w:tc>
          <w:tcPr>
            <w:tcW w:w="3665" w:type="dxa"/>
            <w:shd w:val="clear" w:color="auto" w:fill="FFFFFF" w:themeFill="background1"/>
          </w:tcPr>
          <w:p w:rsidR="0006366E" w:rsidRPr="00026969" w:rsidRDefault="001A3A35" w:rsidP="0006366E">
            <w:pPr>
              <w:pStyle w:val="ListParagraph"/>
              <w:numPr>
                <w:ilvl w:val="0"/>
                <w:numId w:val="23"/>
              </w:numPr>
              <w:rPr>
                <w:color w:val="FFFFFF" w:themeColor="background1"/>
              </w:rPr>
            </w:pPr>
            <w:r>
              <w:rPr>
                <w:color w:val="0070C0"/>
              </w:rPr>
              <w:t>Facility operation</w:t>
            </w:r>
          </w:p>
          <w:p w:rsidR="0006366E" w:rsidRPr="00FF4D03" w:rsidRDefault="001A3A35" w:rsidP="0006366E">
            <w:pPr>
              <w:pStyle w:val="ListParagraph"/>
              <w:ind w:left="360"/>
              <w:rPr>
                <w:color w:val="FFFFFF" w:themeColor="background1"/>
              </w:rPr>
            </w:pPr>
            <w:r>
              <w:rPr>
                <w:color w:val="0070C0"/>
              </w:rPr>
              <w:t>(with daily government oversight)</w:t>
            </w:r>
          </w:p>
        </w:tc>
      </w:tr>
    </w:tbl>
    <w:p w:rsidR="0000055A" w:rsidRPr="0006366E" w:rsidRDefault="0000055A" w:rsidP="0000055A">
      <w:pPr>
        <w:pStyle w:val="Caption"/>
        <w:keepNext/>
        <w:rPr>
          <w:color w:val="0070C0"/>
          <w:sz w:val="24"/>
          <w:szCs w:val="24"/>
        </w:rPr>
      </w:pPr>
      <w:r w:rsidRPr="0006366E">
        <w:rPr>
          <w:color w:val="0070C0"/>
          <w:sz w:val="24"/>
          <w:szCs w:val="24"/>
        </w:rPr>
        <w:t xml:space="preserve">Figure </w:t>
      </w:r>
      <w:r w:rsidR="00520FCB" w:rsidRPr="0006366E">
        <w:rPr>
          <w:noProof/>
          <w:color w:val="0070C0"/>
          <w:sz w:val="24"/>
          <w:szCs w:val="24"/>
        </w:rPr>
        <w:fldChar w:fldCharType="begin"/>
      </w:r>
      <w:r w:rsidR="00520FCB" w:rsidRPr="0006366E">
        <w:rPr>
          <w:noProof/>
          <w:color w:val="0070C0"/>
          <w:sz w:val="24"/>
          <w:szCs w:val="24"/>
        </w:rPr>
        <w:instrText xml:space="preserve"> SEQ Figure \* ARABIC </w:instrText>
      </w:r>
      <w:r w:rsidR="00520FCB" w:rsidRPr="0006366E">
        <w:rPr>
          <w:noProof/>
          <w:color w:val="0070C0"/>
          <w:sz w:val="24"/>
          <w:szCs w:val="24"/>
        </w:rPr>
        <w:fldChar w:fldCharType="separate"/>
      </w:r>
      <w:r w:rsidR="008571A0">
        <w:rPr>
          <w:noProof/>
          <w:color w:val="0070C0"/>
          <w:sz w:val="24"/>
          <w:szCs w:val="24"/>
        </w:rPr>
        <w:t>2</w:t>
      </w:r>
      <w:r w:rsidR="00520FCB" w:rsidRPr="0006366E">
        <w:rPr>
          <w:noProof/>
          <w:color w:val="0070C0"/>
          <w:sz w:val="24"/>
          <w:szCs w:val="24"/>
        </w:rPr>
        <w:fldChar w:fldCharType="end"/>
      </w:r>
      <w:r w:rsidRPr="0006366E">
        <w:rPr>
          <w:color w:val="0070C0"/>
          <w:sz w:val="24"/>
          <w:szCs w:val="24"/>
        </w:rPr>
        <w:t>. The immigration system and the role of contract</w:t>
      </w:r>
      <w:r w:rsidR="00753B3B" w:rsidRPr="0006366E">
        <w:rPr>
          <w:color w:val="0070C0"/>
          <w:sz w:val="24"/>
          <w:szCs w:val="24"/>
        </w:rPr>
        <w:t>ors</w:t>
      </w:r>
      <w:r w:rsidR="00586373" w:rsidRPr="0006366E">
        <w:rPr>
          <w:color w:val="0070C0"/>
          <w:sz w:val="24"/>
          <w:szCs w:val="24"/>
        </w:rPr>
        <w:t xml:space="preserve"> of</w:t>
      </w:r>
      <w:r w:rsidRPr="0006366E">
        <w:rPr>
          <w:color w:val="0070C0"/>
          <w:sz w:val="24"/>
          <w:szCs w:val="24"/>
        </w:rPr>
        <w:t xml:space="preserve"> detention facilities</w:t>
      </w:r>
    </w:p>
    <w:p w:rsidR="002854F7" w:rsidRDefault="00B50A1F" w:rsidP="00874E7E">
      <w:r>
        <w:t xml:space="preserve">Changes in both immigration patterns and immigration policy over the past 25 years have led to </w:t>
      </w:r>
      <w:r w:rsidR="00D56749">
        <w:t xml:space="preserve">a </w:t>
      </w:r>
      <w:r>
        <w:t>500 percent increase in the average daily population of immigrant detainees</w:t>
      </w:r>
      <w:r w:rsidR="007F3702">
        <w:rPr>
          <w:b/>
        </w:rPr>
        <w:t>.</w:t>
      </w:r>
      <w:r w:rsidR="00C67F7E">
        <w:rPr>
          <w:rStyle w:val="EndnoteReference"/>
          <w:b/>
        </w:rPr>
        <w:endnoteReference w:id="7"/>
      </w:r>
      <w:r w:rsidR="007F3702">
        <w:rPr>
          <w:b/>
        </w:rPr>
        <w:t xml:space="preserve"> </w:t>
      </w:r>
      <w:r w:rsidR="002854F7">
        <w:t>For the 2019 fiscal year, ICE predicts it will need enough detention beds to manage an average daily detention population of 45,000.</w:t>
      </w:r>
      <w:r w:rsidR="002854F7">
        <w:rPr>
          <w:rStyle w:val="EndnoteReference"/>
        </w:rPr>
        <w:endnoteReference w:id="8"/>
      </w:r>
      <w:r w:rsidR="002854F7">
        <w:t xml:space="preserve"> While ICE makes predictions o</w:t>
      </w:r>
      <w:r w:rsidR="00586373">
        <w:t>n</w:t>
      </w:r>
      <w:r w:rsidR="002854F7">
        <w:t xml:space="preserve"> average populations, the actual detainee population can fluctuate dramatically from day to day and is difficult to predict. Because ICE lacks the necessary infrastructure to house immigrant detainees, they have two options: contract with companies to build and operate dedicated detention facilities or contract with local jails</w:t>
      </w:r>
      <w:r w:rsidR="000115FF">
        <w:t>,</w:t>
      </w:r>
      <w:r w:rsidR="00270F77">
        <w:t xml:space="preserve"> which can be</w:t>
      </w:r>
      <w:r w:rsidR="000115FF">
        <w:t xml:space="preserve"> ill-equipped to provide dedicated services to this population</w:t>
      </w:r>
      <w:r w:rsidR="002854F7">
        <w:t xml:space="preserve">. </w:t>
      </w:r>
      <w:r w:rsidR="00C84DBB">
        <w:t>The placement of ICE detainees in local jails makes supervision of the treatment of these detainees extremely difficult to monitor.</w:t>
      </w:r>
    </w:p>
    <w:p w:rsidR="002854F7" w:rsidRDefault="002854F7" w:rsidP="002854F7">
      <w:r>
        <w:t>ICE prefers to contract with private companies to operate dedicated detention facilities. Why? Because dedicated detention facilities managed by private companies, held to national ICE detention standards, with direct</w:t>
      </w:r>
      <w:r w:rsidR="00184F3D">
        <w:t>, daily</w:t>
      </w:r>
      <w:r>
        <w:t xml:space="preserve"> oversight from ICE</w:t>
      </w:r>
      <w:r w:rsidR="0026423E">
        <w:t>—</w:t>
      </w:r>
      <w:r>
        <w:t xml:space="preserve">simply provide better services to detainees. Individuals held in </w:t>
      </w:r>
      <w:r>
        <w:lastRenderedPageBreak/>
        <w:t xml:space="preserve">dedicated detention facilities have access to around-the-clock medical care, legal resources, and a safe environment that ensures they are not held in the same facilities as general criminal populations. </w:t>
      </w:r>
    </w:p>
    <w:p w:rsidR="00636B58" w:rsidRPr="00A62754" w:rsidRDefault="00644914" w:rsidP="00636B58">
      <w:pPr>
        <w:pStyle w:val="Heading1"/>
      </w:pPr>
      <w:r w:rsidRPr="00644914">
        <w:t>Contracting for performance in prison and detention management</w:t>
      </w:r>
      <w:r w:rsidR="00636B58">
        <w:t xml:space="preserve"> provides q</w:t>
      </w:r>
      <w:r w:rsidR="00636B58" w:rsidRPr="00A62754">
        <w:t xml:space="preserve">uality services to rehabilitate inmates and effectively transition detained immigrants </w:t>
      </w:r>
    </w:p>
    <w:p w:rsidR="00636B58" w:rsidRDefault="00636B58" w:rsidP="00636B58">
      <w:pPr>
        <w:pStyle w:val="Heading2"/>
      </w:pPr>
      <w:r>
        <w:t>Prison Management</w:t>
      </w:r>
    </w:p>
    <w:p w:rsidR="00667181" w:rsidRDefault="008904FE" w:rsidP="008904FE">
      <w:r>
        <w:t xml:space="preserve">In prison management, </w:t>
      </w:r>
      <w:r w:rsidR="00EB658D">
        <w:t xml:space="preserve">one of the greatest benefits of contracting for performance is the </w:t>
      </w:r>
      <w:r w:rsidR="00D817AA">
        <w:t>expertise</w:t>
      </w:r>
      <w:r w:rsidR="00EB658D">
        <w:t xml:space="preserve"> that contractors provide to rehabilitate incarcerated men and women. Contracting for performance </w:t>
      </w:r>
      <w:r w:rsidR="007B482C">
        <w:t>promotes the use of evidence-based programs to reduce recidivism and spurs innovations to improve the effectiveness of rehabilitative programs.</w:t>
      </w:r>
      <w:r w:rsidR="00667181">
        <w:t xml:space="preserve"> Contractors compete to provide</w:t>
      </w:r>
      <w:r w:rsidR="0026423E">
        <w:t xml:space="preserve"> incarcerated men and women with</w:t>
      </w:r>
      <w:r w:rsidR="00667181">
        <w:t>:</w:t>
      </w:r>
    </w:p>
    <w:p w:rsidR="00667181" w:rsidRPr="000E410E" w:rsidRDefault="00667181" w:rsidP="00667181">
      <w:pPr>
        <w:pStyle w:val="ListParagraph"/>
        <w:numPr>
          <w:ilvl w:val="0"/>
          <w:numId w:val="15"/>
        </w:numPr>
        <w:rPr>
          <w:color w:val="0070C0"/>
        </w:rPr>
      </w:pPr>
      <w:r w:rsidRPr="000E410E">
        <w:rPr>
          <w:color w:val="0070C0"/>
        </w:rPr>
        <w:t xml:space="preserve">Educational programs that improve academic skills </w:t>
      </w:r>
    </w:p>
    <w:p w:rsidR="00667181" w:rsidRPr="000E410E" w:rsidRDefault="009A75F5" w:rsidP="00667181">
      <w:pPr>
        <w:pStyle w:val="ListParagraph"/>
        <w:numPr>
          <w:ilvl w:val="0"/>
          <w:numId w:val="15"/>
        </w:numPr>
        <w:rPr>
          <w:color w:val="0070C0"/>
        </w:rPr>
      </w:pPr>
      <w:r>
        <w:rPr>
          <w:color w:val="0070C0"/>
        </w:rPr>
        <w:t>Vocational programs in high-</w:t>
      </w:r>
      <w:r w:rsidR="00667181" w:rsidRPr="000E410E">
        <w:rPr>
          <w:color w:val="0070C0"/>
        </w:rPr>
        <w:t xml:space="preserve">demand industries that </w:t>
      </w:r>
      <w:r w:rsidR="0026423E">
        <w:rPr>
          <w:color w:val="0070C0"/>
        </w:rPr>
        <w:t xml:space="preserve">result in </w:t>
      </w:r>
      <w:r w:rsidR="00667181" w:rsidRPr="000E410E">
        <w:rPr>
          <w:color w:val="0070C0"/>
        </w:rPr>
        <w:t xml:space="preserve">meaningful employment </w:t>
      </w:r>
      <w:r w:rsidR="0026423E">
        <w:rPr>
          <w:color w:val="0070C0"/>
        </w:rPr>
        <w:t>after</w:t>
      </w:r>
      <w:r w:rsidR="00667181" w:rsidRPr="000E410E">
        <w:rPr>
          <w:color w:val="0070C0"/>
        </w:rPr>
        <w:t xml:space="preserve"> release</w:t>
      </w:r>
    </w:p>
    <w:p w:rsidR="00CF1271" w:rsidRPr="000E410E" w:rsidRDefault="00635546" w:rsidP="00667181">
      <w:pPr>
        <w:pStyle w:val="ListParagraph"/>
        <w:numPr>
          <w:ilvl w:val="0"/>
          <w:numId w:val="15"/>
        </w:numPr>
        <w:rPr>
          <w:color w:val="0070C0"/>
        </w:rPr>
      </w:pPr>
      <w:r w:rsidRPr="000E410E">
        <w:rPr>
          <w:color w:val="0070C0"/>
        </w:rPr>
        <w:t xml:space="preserve">Substance </w:t>
      </w:r>
      <w:r w:rsidR="00CF1271" w:rsidRPr="000E410E">
        <w:rPr>
          <w:color w:val="0070C0"/>
        </w:rPr>
        <w:t>abuse program</w:t>
      </w:r>
      <w:r w:rsidR="00D817AA" w:rsidRPr="000E410E">
        <w:rPr>
          <w:color w:val="0070C0"/>
        </w:rPr>
        <w:t>s</w:t>
      </w:r>
      <w:r w:rsidR="00CF1271" w:rsidRPr="000E410E">
        <w:rPr>
          <w:color w:val="0070C0"/>
        </w:rPr>
        <w:t xml:space="preserve"> to overcome addiction</w:t>
      </w:r>
    </w:p>
    <w:p w:rsidR="00C33312" w:rsidRPr="000E410E" w:rsidRDefault="00635546" w:rsidP="00667181">
      <w:pPr>
        <w:pStyle w:val="ListParagraph"/>
        <w:numPr>
          <w:ilvl w:val="0"/>
          <w:numId w:val="15"/>
        </w:numPr>
        <w:rPr>
          <w:color w:val="0070C0"/>
        </w:rPr>
      </w:pPr>
      <w:r w:rsidRPr="000E410E">
        <w:rPr>
          <w:color w:val="0070C0"/>
        </w:rPr>
        <w:t xml:space="preserve">Cognitive </w:t>
      </w:r>
      <w:r w:rsidR="00CF1271" w:rsidRPr="000E410E">
        <w:rPr>
          <w:color w:val="0070C0"/>
        </w:rPr>
        <w:t xml:space="preserve">behavioral programs that teach </w:t>
      </w:r>
      <w:r w:rsidR="00D817AA" w:rsidRPr="000E410E">
        <w:rPr>
          <w:color w:val="0070C0"/>
        </w:rPr>
        <w:t xml:space="preserve">how </w:t>
      </w:r>
      <w:r w:rsidR="00CF1271" w:rsidRPr="000E410E">
        <w:rPr>
          <w:color w:val="0070C0"/>
        </w:rPr>
        <w:t>to change negative thoughts and behaviors and be better prepared to successfully return to society</w:t>
      </w:r>
    </w:p>
    <w:p w:rsidR="00CF1271" w:rsidRDefault="00CF1271" w:rsidP="008904FE">
      <w:r>
        <w:t>Contract prison facilities provide quality correctional programs that meet the standards of the American Correctional Association, the Correctional Education Association, and other accrediting bodies.</w:t>
      </w:r>
    </w:p>
    <w:p w:rsidR="00CF1271" w:rsidRDefault="00CF1271" w:rsidP="008904FE">
      <w:r>
        <w:t>When contract prison facilities achieve high outcomes in providing rehabilitative programs, their government customers take notice and seek to rep</w:t>
      </w:r>
      <w:r w:rsidR="00B01707">
        <w:t>licate those outcomes in publicly operated facilities. In 2018</w:t>
      </w:r>
      <w:r w:rsidR="00D817AA">
        <w:t>,</w:t>
      </w:r>
      <w:r w:rsidR="00B01707">
        <w:t xml:space="preserve"> the privately</w:t>
      </w:r>
      <w:r w:rsidR="00E522AC">
        <w:t xml:space="preserve"> </w:t>
      </w:r>
      <w:r w:rsidR="00B01707">
        <w:t xml:space="preserve">operated Otero County Prison Facility in New Mexico received the highest rating in the state in an audit on the effectiveness of their educational programs. Speaking to Otero County Prison Facility staff in 2018, former New Mexico Corrections Department </w:t>
      </w:r>
      <w:r w:rsidR="00E637A9">
        <w:t>Secretary</w:t>
      </w:r>
      <w:r w:rsidR="00B01707">
        <w:t xml:space="preserve"> David Jablonski praised the facility for their approach and their results</w:t>
      </w:r>
      <w:r w:rsidR="00635546" w:rsidRPr="003C7669">
        <w:t>:</w:t>
      </w:r>
      <w:r w:rsidR="00B01707" w:rsidRPr="003C7669">
        <w:t xml:space="preserve"> “the programming here is above board. I can’t say enough about this facility. I wish I could duplicate it.”</w:t>
      </w:r>
      <w:r w:rsidR="009F3B7D">
        <w:rPr>
          <w:rStyle w:val="EndnoteReference"/>
        </w:rPr>
        <w:endnoteReference w:id="9"/>
      </w:r>
    </w:p>
    <w:p w:rsidR="000E410E" w:rsidRDefault="000E410E" w:rsidP="00EB4D43">
      <w:pPr>
        <w:pStyle w:val="Heading2"/>
      </w:pPr>
      <w:r>
        <w:t>Detention Management</w:t>
      </w:r>
    </w:p>
    <w:p w:rsidR="009B683F" w:rsidRDefault="009B683F" w:rsidP="009B683F">
      <w:r>
        <w:t xml:space="preserve">In detention management, one of the greatest benefits of contracting for performance is the quality of services that contractors </w:t>
      </w:r>
      <w:r w:rsidR="00A4661C">
        <w:t>provide to meet the unique needs of immigrant detainees</w:t>
      </w:r>
      <w:r>
        <w:t>. Immigration detention is different from criminal incarceration</w:t>
      </w:r>
      <w:r w:rsidR="00A4661C">
        <w:t xml:space="preserve">. </w:t>
      </w:r>
      <w:r w:rsidR="008531A3">
        <w:t xml:space="preserve">ICE uses detention when it determines it necessary to ensure participation in immigration proceedings or to hold non-U.S. citizens for deportation. </w:t>
      </w:r>
      <w:r>
        <w:t>The majority of immigrant detainees (approximately 58 percent) have no criminal convictions and are held for an average of one to two months.</w:t>
      </w:r>
      <w:r w:rsidR="009F3B7D">
        <w:rPr>
          <w:rStyle w:val="EndnoteReference"/>
        </w:rPr>
        <w:endnoteReference w:id="10"/>
      </w:r>
      <w:r>
        <w:t xml:space="preserve"> Contracting for performance in detention ensures detainees have access to:</w:t>
      </w:r>
    </w:p>
    <w:p w:rsidR="009B683F" w:rsidRDefault="009B683F" w:rsidP="009B683F">
      <w:pPr>
        <w:pStyle w:val="ListParagraph"/>
        <w:numPr>
          <w:ilvl w:val="0"/>
          <w:numId w:val="14"/>
        </w:numPr>
      </w:pPr>
      <w:r w:rsidRPr="0004679F">
        <w:rPr>
          <w:color w:val="0070C0"/>
        </w:rPr>
        <w:t>Comprehensi</w:t>
      </w:r>
      <w:r w:rsidR="005C1A04">
        <w:rPr>
          <w:color w:val="0070C0"/>
        </w:rPr>
        <w:t>ve</w:t>
      </w:r>
      <w:r w:rsidR="0004679F" w:rsidRPr="0004679F">
        <w:rPr>
          <w:color w:val="0070C0"/>
        </w:rPr>
        <w:t xml:space="preserve"> and responsive medical care</w:t>
      </w:r>
      <w:r w:rsidRPr="0004679F">
        <w:rPr>
          <w:color w:val="0070C0"/>
        </w:rPr>
        <w:t>—</w:t>
      </w:r>
      <w:r w:rsidR="00A4661C">
        <w:t xml:space="preserve">Dedicated contract detention facilities </w:t>
      </w:r>
      <w:r>
        <w:t>provide each detainee a comprehensive medical screening upon arrival and ongoing care for chronic and acute illness on</w:t>
      </w:r>
      <w:r w:rsidR="00240448">
        <w:t xml:space="preserve"> </w:t>
      </w:r>
      <w:r>
        <w:t>site.</w:t>
      </w:r>
    </w:p>
    <w:p w:rsidR="0079338F" w:rsidRDefault="0079338F" w:rsidP="009B683F">
      <w:pPr>
        <w:pStyle w:val="ListParagraph"/>
        <w:numPr>
          <w:ilvl w:val="0"/>
          <w:numId w:val="14"/>
        </w:numPr>
      </w:pPr>
      <w:r w:rsidRPr="0004679F">
        <w:rPr>
          <w:color w:val="0070C0"/>
        </w:rPr>
        <w:t>Access to legal materials and services—</w:t>
      </w:r>
      <w:r w:rsidR="00A4661C" w:rsidRPr="005C1A04">
        <w:t xml:space="preserve">Dedicated </w:t>
      </w:r>
      <w:r w:rsidR="00A4661C">
        <w:t xml:space="preserve">contract detention facilities </w:t>
      </w:r>
      <w:r>
        <w:t xml:space="preserve">partner with community organizations to provide legal presentations to detainees. </w:t>
      </w:r>
      <w:r w:rsidR="00A4661C">
        <w:t>They also provide detainees with</w:t>
      </w:r>
      <w:r>
        <w:t xml:space="preserve"> access to a</w:t>
      </w:r>
      <w:r w:rsidR="00A4661C">
        <w:t>n on</w:t>
      </w:r>
      <w:r w:rsidR="00240448">
        <w:t>-</w:t>
      </w:r>
      <w:r w:rsidR="00A4661C">
        <w:t>site</w:t>
      </w:r>
      <w:r>
        <w:t xml:space="preserve"> law library and </w:t>
      </w:r>
      <w:r w:rsidR="005C1A04">
        <w:t>full</w:t>
      </w:r>
      <w:r w:rsidR="00240448">
        <w:t>-</w:t>
      </w:r>
      <w:r>
        <w:t xml:space="preserve">time library staff to assist them in preparing for </w:t>
      </w:r>
      <w:r w:rsidR="00A4661C">
        <w:t>immigration</w:t>
      </w:r>
      <w:r>
        <w:t xml:space="preserve"> proceedings</w:t>
      </w:r>
      <w:r w:rsidR="00A4661C">
        <w:t>.</w:t>
      </w:r>
    </w:p>
    <w:p w:rsidR="00BF11A9" w:rsidRDefault="0079338F" w:rsidP="00BF11A9">
      <w:pPr>
        <w:pStyle w:val="ListParagraph"/>
        <w:numPr>
          <w:ilvl w:val="0"/>
          <w:numId w:val="14"/>
        </w:numPr>
      </w:pPr>
      <w:r w:rsidRPr="0004679F">
        <w:rPr>
          <w:color w:val="0070C0"/>
        </w:rPr>
        <w:lastRenderedPageBreak/>
        <w:t>Opportunities for recreation, education, and counseling services—</w:t>
      </w:r>
      <w:r>
        <w:t>While not required</w:t>
      </w:r>
      <w:r w:rsidR="009F3B7D">
        <w:t xml:space="preserve"> to</w:t>
      </w:r>
      <w:r w:rsidR="00E81535">
        <w:t xml:space="preserve"> participate</w:t>
      </w:r>
      <w:r>
        <w:t>, detainees at contract facilities have opportunities to participate in recreation, English classes, trauma counseling, and opportunities to earn a GED or INEA, the Mexican equivalent of a GED.</w:t>
      </w:r>
    </w:p>
    <w:p w:rsidR="00644914" w:rsidRPr="009F2478" w:rsidRDefault="00BE1EA2" w:rsidP="008061C8">
      <w:r>
        <w:t xml:space="preserve">Contractors often go above and beyond contractual requirements in providing these services, while </w:t>
      </w:r>
      <w:r w:rsidR="00165809">
        <w:t xml:space="preserve">still managing to save </w:t>
      </w:r>
      <w:r>
        <w:t>the government money</w:t>
      </w:r>
      <w:r w:rsidR="00BF11A9">
        <w:t>. Government agencies interested in innovative ways to improve programs and services for incarcerated and detained indiv</w:t>
      </w:r>
      <w:r w:rsidR="00336E85">
        <w:t>iduals should give contracting for performance a</w:t>
      </w:r>
      <w:r w:rsidR="00BF11A9">
        <w:t xml:space="preserve"> </w:t>
      </w:r>
      <w:r w:rsidR="00336E85">
        <w:t>closer</w:t>
      </w:r>
      <w:r w:rsidR="00BF11A9">
        <w:t xml:space="preserve"> look. </w:t>
      </w:r>
    </w:p>
    <w:p w:rsidR="00446214" w:rsidRPr="00446214" w:rsidRDefault="00175F55" w:rsidP="00446214">
      <w:pPr>
        <w:pStyle w:val="Heading1"/>
      </w:pPr>
      <w:r>
        <w:t xml:space="preserve">Contracting for performance in </w:t>
      </w:r>
      <w:r w:rsidR="00446214">
        <w:t>prison and detention management provides a proven</w:t>
      </w:r>
      <w:r w:rsidR="00446214" w:rsidRPr="00446214">
        <w:t xml:space="preserve"> way to manage budgets and control costs</w:t>
      </w:r>
    </w:p>
    <w:p w:rsidR="004A3868" w:rsidRDefault="00175F55" w:rsidP="004A3868">
      <w:r>
        <w:t xml:space="preserve">Government agencies that contract for </w:t>
      </w:r>
      <w:r w:rsidR="002D37C9">
        <w:t>correctional</w:t>
      </w:r>
      <w:r>
        <w:t xml:space="preserve"> and detention services look to contractors </w:t>
      </w:r>
      <w:r w:rsidR="00766471">
        <w:t xml:space="preserve">to provide </w:t>
      </w:r>
      <w:r w:rsidR="007D7DEE">
        <w:t>quality</w:t>
      </w:r>
      <w:r w:rsidR="00766471">
        <w:t xml:space="preserve"> services that save taxpayers money. </w:t>
      </w:r>
      <w:r w:rsidR="004A3868">
        <w:t>The growth of the U</w:t>
      </w:r>
      <w:r w:rsidR="007D7DEE">
        <w:t>.</w:t>
      </w:r>
      <w:r w:rsidR="004A3868">
        <w:t>S</w:t>
      </w:r>
      <w:r w:rsidR="007D7DEE">
        <w:t>.</w:t>
      </w:r>
      <w:r w:rsidR="004A3868">
        <w:t xml:space="preserve"> prison population has put an enormous strain on state budgets. From 1990 through 2015</w:t>
      </w:r>
      <w:r w:rsidR="008F30E4">
        <w:t>,</w:t>
      </w:r>
      <w:r w:rsidR="004A3868">
        <w:t xml:space="preserve"> annual state spending on corrections increased from $16.9 billion </w:t>
      </w:r>
      <w:r w:rsidR="005C1A04">
        <w:t xml:space="preserve">to </w:t>
      </w:r>
      <w:r w:rsidR="004A3868">
        <w:t>$5</w:t>
      </w:r>
      <w:r w:rsidR="00181BA4">
        <w:t>7.7</w:t>
      </w:r>
      <w:r w:rsidR="004A3868">
        <w:t xml:space="preserve"> billion—a 2</w:t>
      </w:r>
      <w:r w:rsidR="00181BA4">
        <w:t>41</w:t>
      </w:r>
      <w:r w:rsidR="004A3868">
        <w:t xml:space="preserve"> percent increase.</w:t>
      </w:r>
      <w:r w:rsidR="004A3868">
        <w:rPr>
          <w:rStyle w:val="EndnoteReference"/>
        </w:rPr>
        <w:endnoteReference w:id="11"/>
      </w:r>
      <w:r w:rsidR="0000355D">
        <w:t xml:space="preserve"> </w:t>
      </w:r>
    </w:p>
    <w:p w:rsidR="0012097C" w:rsidRDefault="006A2066" w:rsidP="004A3868">
      <w:r>
        <w:t>Rising corrections costs during the last few decades have affected all 50 states. However, those states that used contracting in their prison system</w:t>
      </w:r>
      <w:r w:rsidR="00917FF5">
        <w:t>s</w:t>
      </w:r>
      <w:r>
        <w:t xml:space="preserve"> have had smaller increases in expenditures than those that didn’t. </w:t>
      </w:r>
    </w:p>
    <w:p w:rsidR="006A2066" w:rsidRDefault="004205D3" w:rsidP="0012097C">
      <w:pPr>
        <w:pStyle w:val="IntenseQuote"/>
      </w:pPr>
      <w:r>
        <w:t xml:space="preserve">A 2007 study by Vanderbilt University compared the growth in prison expenditures among states that used </w:t>
      </w:r>
      <w:r w:rsidR="00BD7378">
        <w:t>contract</w:t>
      </w:r>
      <w:r w:rsidR="00D85133">
        <w:t xml:space="preserve"> prisons and those that didn’t from 1999 to </w:t>
      </w:r>
      <w:r>
        <w:t xml:space="preserve">2004. The study concluded that the average state that did not use </w:t>
      </w:r>
      <w:r w:rsidR="00BD7378">
        <w:t>contract</w:t>
      </w:r>
      <w:r>
        <w:t xml:space="preserve"> prisons would have saved between $13-15 million in corrections costs per year.</w:t>
      </w:r>
      <w:r>
        <w:rPr>
          <w:rStyle w:val="EndnoteReference"/>
        </w:rPr>
        <w:endnoteReference w:id="12"/>
      </w:r>
    </w:p>
    <w:p w:rsidR="00BA0D76" w:rsidRDefault="00004C6A" w:rsidP="00175F55">
      <w:r>
        <w:t xml:space="preserve">Contract prisons </w:t>
      </w:r>
      <w:r w:rsidR="00510D82">
        <w:t xml:space="preserve">and detention centers </w:t>
      </w:r>
      <w:r>
        <w:t xml:space="preserve">have also </w:t>
      </w:r>
      <w:r w:rsidR="00510D82">
        <w:t xml:space="preserve">been proven to provide significant savings to the federal government. </w:t>
      </w:r>
      <w:r w:rsidR="00F677FD">
        <w:t xml:space="preserve">The </w:t>
      </w:r>
      <w:r w:rsidR="00510D82">
        <w:t xml:space="preserve">Federal Bureau of </w:t>
      </w:r>
      <w:r w:rsidR="001A1DB9">
        <w:t>Prisons’ (BOP)</w:t>
      </w:r>
      <w:r w:rsidR="00510D82">
        <w:t xml:space="preserve"> </w:t>
      </w:r>
      <w:r w:rsidR="00F677FD">
        <w:t xml:space="preserve">own </w:t>
      </w:r>
      <w:r w:rsidR="00996D1A">
        <w:t xml:space="preserve">FY 2017 </w:t>
      </w:r>
      <w:r w:rsidR="00F677FD">
        <w:t>per capita cost reporting shows that contract prisons—which house primarily low-custody federal inmates—operate at a cost of $25.01 per inmate per day less than publicly operated low-custody facilities.</w:t>
      </w:r>
      <w:r w:rsidR="00F677FD">
        <w:rPr>
          <w:rStyle w:val="EndnoteReference"/>
        </w:rPr>
        <w:endnoteReference w:id="13"/>
      </w:r>
      <w:r w:rsidR="00510D82">
        <w:t xml:space="preserve"> </w:t>
      </w:r>
      <w:r w:rsidR="006D41B5">
        <w:t>Based on the BOP population in contract facilities in 2016 (the most recent year for which data is available), that’s an estimated annual savings of nearly $312 million</w:t>
      </w:r>
      <w:r w:rsidR="008F30E4">
        <w:t xml:space="preserve"> (see figure 3)</w:t>
      </w:r>
      <w:r w:rsidR="006D41B5">
        <w:t xml:space="preserve">. </w:t>
      </w:r>
      <w:r w:rsidR="00E522AC">
        <w:t>If the BOP contract</w:t>
      </w:r>
      <w:r w:rsidR="0026423E">
        <w:t>ed</w:t>
      </w:r>
      <w:r w:rsidR="00E522AC">
        <w:t xml:space="preserve"> for all of its low-custody facilities, the savings would be </w:t>
      </w:r>
      <w:r w:rsidR="0026423E">
        <w:t xml:space="preserve">much </w:t>
      </w:r>
      <w:r w:rsidR="00E522AC">
        <w:t>greater.</w:t>
      </w:r>
    </w:p>
    <w:tbl>
      <w:tblPr>
        <w:tblStyle w:val="TableGrid"/>
        <w:tblpPr w:leftFromText="187" w:rightFromText="187" w:bottomFromText="187" w:vertAnchor="text" w:horzAnchor="margin" w:tblpY="44"/>
        <w:tblW w:w="9390" w:type="dxa"/>
        <w:tblBorders>
          <w:top w:val="none" w:sz="0" w:space="0" w:color="auto"/>
          <w:left w:val="none" w:sz="0" w:space="0" w:color="auto"/>
          <w:bottom w:val="none" w:sz="0" w:space="0" w:color="auto"/>
          <w:right w:val="none" w:sz="0" w:space="0" w:color="auto"/>
          <w:insideH w:val="none" w:sz="0" w:space="0" w:color="auto"/>
          <w:insideV w:val="single" w:sz="4" w:space="0" w:color="0070C0"/>
        </w:tblBorders>
        <w:tblCellMar>
          <w:left w:w="115" w:type="dxa"/>
          <w:right w:w="115" w:type="dxa"/>
        </w:tblCellMar>
        <w:tblLook w:val="04A0" w:firstRow="1" w:lastRow="0" w:firstColumn="1" w:lastColumn="0" w:noHBand="0" w:noVBand="1"/>
      </w:tblPr>
      <w:tblGrid>
        <w:gridCol w:w="1545"/>
        <w:gridCol w:w="1878"/>
        <w:gridCol w:w="5967"/>
      </w:tblGrid>
      <w:tr w:rsidR="004D6882" w:rsidTr="004D6882">
        <w:trPr>
          <w:trHeight w:val="206"/>
        </w:trPr>
        <w:tc>
          <w:tcPr>
            <w:tcW w:w="9390" w:type="dxa"/>
            <w:gridSpan w:val="3"/>
          </w:tcPr>
          <w:p w:rsidR="004D6882" w:rsidRPr="00446214" w:rsidRDefault="00446214" w:rsidP="004D6882">
            <w:pPr>
              <w:rPr>
                <w:i/>
                <w:color w:val="0070C0"/>
                <w:sz w:val="24"/>
                <w:szCs w:val="24"/>
              </w:rPr>
            </w:pPr>
            <w:r>
              <w:rPr>
                <w:i/>
                <w:color w:val="0070C0"/>
                <w:sz w:val="24"/>
                <w:szCs w:val="24"/>
              </w:rPr>
              <w:t>Figure 3. Contract prisons annual costs s</w:t>
            </w:r>
            <w:r w:rsidR="004D6882" w:rsidRPr="00446214">
              <w:rPr>
                <w:i/>
                <w:color w:val="0070C0"/>
                <w:sz w:val="24"/>
                <w:szCs w:val="24"/>
              </w:rPr>
              <w:t xml:space="preserve">avings to </w:t>
            </w:r>
            <w:r w:rsidR="00240448">
              <w:rPr>
                <w:i/>
                <w:color w:val="0070C0"/>
                <w:sz w:val="24"/>
                <w:szCs w:val="24"/>
              </w:rPr>
              <w:t xml:space="preserve">the </w:t>
            </w:r>
            <w:r w:rsidR="004D6882" w:rsidRPr="00446214">
              <w:rPr>
                <w:i/>
                <w:color w:val="0070C0"/>
                <w:sz w:val="24"/>
                <w:szCs w:val="24"/>
              </w:rPr>
              <w:t xml:space="preserve">Federal Bureau of Prisons </w:t>
            </w:r>
          </w:p>
          <w:p w:rsidR="00FB5690" w:rsidRPr="00F1643D" w:rsidRDefault="00FB5690" w:rsidP="004D6882">
            <w:pPr>
              <w:rPr>
                <w:i/>
              </w:rPr>
            </w:pPr>
          </w:p>
        </w:tc>
      </w:tr>
      <w:tr w:rsidR="004D6882" w:rsidTr="004D6882">
        <w:trPr>
          <w:trHeight w:val="246"/>
        </w:trPr>
        <w:tc>
          <w:tcPr>
            <w:tcW w:w="1620" w:type="dxa"/>
            <w:tcBorders>
              <w:right w:val="nil"/>
            </w:tcBorders>
            <w:shd w:val="clear" w:color="auto" w:fill="auto"/>
          </w:tcPr>
          <w:p w:rsidR="004D6882" w:rsidRDefault="004D6882" w:rsidP="004D6882">
            <w:pPr>
              <w:jc w:val="right"/>
            </w:pPr>
          </w:p>
        </w:tc>
        <w:tc>
          <w:tcPr>
            <w:tcW w:w="1506" w:type="dxa"/>
            <w:tcBorders>
              <w:left w:val="nil"/>
            </w:tcBorders>
            <w:shd w:val="clear" w:color="auto" w:fill="auto"/>
          </w:tcPr>
          <w:p w:rsidR="004D6882" w:rsidRPr="00F1643D" w:rsidRDefault="004D6882" w:rsidP="004D6882">
            <w:pPr>
              <w:jc w:val="right"/>
              <w:rPr>
                <w:i/>
              </w:rPr>
            </w:pPr>
            <w:r w:rsidRPr="00F1643D">
              <w:rPr>
                <w:i/>
              </w:rPr>
              <w:t>34,159</w:t>
            </w:r>
          </w:p>
        </w:tc>
        <w:tc>
          <w:tcPr>
            <w:tcW w:w="6264" w:type="dxa"/>
            <w:shd w:val="clear" w:color="auto" w:fill="auto"/>
          </w:tcPr>
          <w:p w:rsidR="004D6882" w:rsidRPr="00F1643D" w:rsidRDefault="004D6882" w:rsidP="004D6882">
            <w:pPr>
              <w:rPr>
                <w:i/>
              </w:rPr>
            </w:pPr>
            <w:r w:rsidRPr="00F1643D">
              <w:rPr>
                <w:i/>
              </w:rPr>
              <w:t>Average population in contract facilities</w:t>
            </w:r>
          </w:p>
        </w:tc>
      </w:tr>
      <w:tr w:rsidR="004D6882" w:rsidTr="004D6882">
        <w:trPr>
          <w:trHeight w:val="206"/>
        </w:trPr>
        <w:tc>
          <w:tcPr>
            <w:tcW w:w="1620" w:type="dxa"/>
            <w:tcBorders>
              <w:bottom w:val="nil"/>
              <w:right w:val="nil"/>
            </w:tcBorders>
            <w:shd w:val="clear" w:color="auto" w:fill="auto"/>
          </w:tcPr>
          <w:p w:rsidR="004D6882" w:rsidRDefault="004D6882" w:rsidP="004D6882">
            <w:pPr>
              <w:jc w:val="right"/>
            </w:pPr>
            <w:r>
              <w:t>X</w:t>
            </w:r>
          </w:p>
        </w:tc>
        <w:tc>
          <w:tcPr>
            <w:tcW w:w="1506" w:type="dxa"/>
            <w:tcBorders>
              <w:left w:val="nil"/>
              <w:bottom w:val="nil"/>
            </w:tcBorders>
            <w:shd w:val="clear" w:color="auto" w:fill="auto"/>
          </w:tcPr>
          <w:p w:rsidR="004D6882" w:rsidRPr="00F1643D" w:rsidRDefault="004D6882" w:rsidP="004D6882">
            <w:pPr>
              <w:jc w:val="right"/>
              <w:rPr>
                <w:i/>
              </w:rPr>
            </w:pPr>
            <w:r w:rsidRPr="00F1643D">
              <w:rPr>
                <w:i/>
              </w:rPr>
              <w:t>$25.01</w:t>
            </w:r>
          </w:p>
        </w:tc>
        <w:tc>
          <w:tcPr>
            <w:tcW w:w="6264" w:type="dxa"/>
            <w:tcBorders>
              <w:bottom w:val="nil"/>
            </w:tcBorders>
            <w:shd w:val="clear" w:color="auto" w:fill="auto"/>
          </w:tcPr>
          <w:p w:rsidR="004D6882" w:rsidRPr="00F1643D" w:rsidRDefault="004D6882" w:rsidP="004D6882">
            <w:pPr>
              <w:rPr>
                <w:i/>
              </w:rPr>
            </w:pPr>
            <w:r w:rsidRPr="00F1643D">
              <w:rPr>
                <w:i/>
              </w:rPr>
              <w:t>Average daily per person cost savings</w:t>
            </w:r>
          </w:p>
        </w:tc>
      </w:tr>
      <w:tr w:rsidR="004D6882" w:rsidTr="004D6882">
        <w:trPr>
          <w:trHeight w:val="193"/>
        </w:trPr>
        <w:tc>
          <w:tcPr>
            <w:tcW w:w="1620" w:type="dxa"/>
            <w:tcBorders>
              <w:bottom w:val="single" w:sz="4" w:space="0" w:color="0070C0"/>
              <w:right w:val="nil"/>
            </w:tcBorders>
            <w:shd w:val="clear" w:color="auto" w:fill="auto"/>
          </w:tcPr>
          <w:p w:rsidR="004D6882" w:rsidRDefault="004D6882" w:rsidP="004D6882">
            <w:pPr>
              <w:jc w:val="right"/>
            </w:pPr>
            <w:r>
              <w:t>X</w:t>
            </w:r>
          </w:p>
        </w:tc>
        <w:tc>
          <w:tcPr>
            <w:tcW w:w="1506" w:type="dxa"/>
            <w:tcBorders>
              <w:left w:val="nil"/>
              <w:bottom w:val="single" w:sz="4" w:space="0" w:color="0070C0"/>
            </w:tcBorders>
            <w:shd w:val="clear" w:color="auto" w:fill="auto"/>
          </w:tcPr>
          <w:p w:rsidR="004D6882" w:rsidRPr="00F1643D" w:rsidRDefault="004D6882" w:rsidP="004D6882">
            <w:pPr>
              <w:jc w:val="right"/>
              <w:rPr>
                <w:i/>
              </w:rPr>
            </w:pPr>
            <w:r w:rsidRPr="00F1643D">
              <w:rPr>
                <w:i/>
              </w:rPr>
              <w:t>365</w:t>
            </w:r>
          </w:p>
        </w:tc>
        <w:tc>
          <w:tcPr>
            <w:tcW w:w="6264" w:type="dxa"/>
            <w:tcBorders>
              <w:bottom w:val="single" w:sz="4" w:space="0" w:color="0070C0"/>
            </w:tcBorders>
            <w:shd w:val="clear" w:color="auto" w:fill="auto"/>
          </w:tcPr>
          <w:p w:rsidR="004D6882" w:rsidRPr="00F1643D" w:rsidRDefault="004D6882" w:rsidP="004D6882">
            <w:pPr>
              <w:rPr>
                <w:i/>
              </w:rPr>
            </w:pPr>
            <w:r w:rsidRPr="00F1643D">
              <w:rPr>
                <w:i/>
              </w:rPr>
              <w:t>Days per year</w:t>
            </w:r>
          </w:p>
        </w:tc>
      </w:tr>
      <w:tr w:rsidR="004D6882" w:rsidTr="004D6882">
        <w:trPr>
          <w:trHeight w:val="56"/>
        </w:trPr>
        <w:tc>
          <w:tcPr>
            <w:tcW w:w="1620" w:type="dxa"/>
            <w:tcBorders>
              <w:top w:val="single" w:sz="4" w:space="0" w:color="0070C0"/>
              <w:right w:val="nil"/>
            </w:tcBorders>
            <w:shd w:val="clear" w:color="auto" w:fill="auto"/>
          </w:tcPr>
          <w:p w:rsidR="004D6882" w:rsidRPr="00477466" w:rsidRDefault="004D6882" w:rsidP="004D6882">
            <w:pPr>
              <w:jc w:val="right"/>
              <w:rPr>
                <w:b/>
                <w:color w:val="0070C0"/>
                <w:sz w:val="24"/>
                <w:szCs w:val="24"/>
              </w:rPr>
            </w:pPr>
            <w:r w:rsidRPr="00477466">
              <w:rPr>
                <w:b/>
                <w:color w:val="0070C0"/>
                <w:sz w:val="24"/>
                <w:szCs w:val="24"/>
              </w:rPr>
              <w:t>=</w:t>
            </w:r>
          </w:p>
        </w:tc>
        <w:tc>
          <w:tcPr>
            <w:tcW w:w="1506" w:type="dxa"/>
            <w:tcBorders>
              <w:top w:val="single" w:sz="4" w:space="0" w:color="0070C0"/>
              <w:left w:val="nil"/>
              <w:right w:val="single" w:sz="4" w:space="0" w:color="0070C0"/>
            </w:tcBorders>
            <w:shd w:val="clear" w:color="auto" w:fill="auto"/>
          </w:tcPr>
          <w:p w:rsidR="004D6882" w:rsidRPr="00477466" w:rsidRDefault="004D6882" w:rsidP="004D6882">
            <w:pPr>
              <w:jc w:val="right"/>
              <w:rPr>
                <w:b/>
                <w:color w:val="0070C0"/>
                <w:sz w:val="24"/>
                <w:szCs w:val="24"/>
              </w:rPr>
            </w:pPr>
            <w:r w:rsidRPr="00477466">
              <w:rPr>
                <w:b/>
                <w:color w:val="0070C0"/>
                <w:sz w:val="24"/>
                <w:szCs w:val="24"/>
              </w:rPr>
              <w:t>$311,825,555</w:t>
            </w:r>
            <w:r w:rsidR="008F30E4">
              <w:rPr>
                <w:b/>
                <w:color w:val="0070C0"/>
                <w:sz w:val="24"/>
                <w:szCs w:val="24"/>
              </w:rPr>
              <w:t>.35</w:t>
            </w:r>
          </w:p>
        </w:tc>
        <w:tc>
          <w:tcPr>
            <w:tcW w:w="6264" w:type="dxa"/>
            <w:tcBorders>
              <w:top w:val="single" w:sz="4" w:space="0" w:color="0070C0"/>
              <w:left w:val="single" w:sz="4" w:space="0" w:color="0070C0"/>
            </w:tcBorders>
            <w:shd w:val="clear" w:color="auto" w:fill="auto"/>
          </w:tcPr>
          <w:p w:rsidR="004D6882" w:rsidRPr="00477466" w:rsidRDefault="004D6882" w:rsidP="004D6882">
            <w:pPr>
              <w:rPr>
                <w:b/>
                <w:color w:val="0070C0"/>
                <w:sz w:val="24"/>
                <w:szCs w:val="24"/>
              </w:rPr>
            </w:pPr>
            <w:r w:rsidRPr="00477466">
              <w:rPr>
                <w:b/>
                <w:color w:val="0070C0"/>
                <w:sz w:val="24"/>
                <w:szCs w:val="24"/>
              </w:rPr>
              <w:t>Estimated annual cost savings</w:t>
            </w:r>
          </w:p>
        </w:tc>
      </w:tr>
    </w:tbl>
    <w:p w:rsidR="0085751E" w:rsidRDefault="00510D82" w:rsidP="00175F55">
      <w:r>
        <w:t>ICE reported in 2016 that contract detention facilities saved $40.12 per detainee per day compared to ICE’s own facilities</w:t>
      </w:r>
      <w:r w:rsidR="00FD30C0">
        <w:t xml:space="preserve"> (see </w:t>
      </w:r>
      <w:r w:rsidR="008F30E4">
        <w:t>figure 4</w:t>
      </w:r>
      <w:r w:rsidR="00FD30C0" w:rsidRPr="009F5513">
        <w:t>)</w:t>
      </w:r>
      <w:r w:rsidRPr="009F5513">
        <w:t>.</w:t>
      </w:r>
      <w:r w:rsidRPr="009F5513">
        <w:rPr>
          <w:rStyle w:val="EndnoteReference"/>
        </w:rPr>
        <w:endnoteReference w:id="14"/>
      </w:r>
      <w:r>
        <w:t xml:space="preserve"> </w:t>
      </w:r>
      <w:r w:rsidR="00BA0D76">
        <w:t xml:space="preserve">Based on the estimated daily population in contract ICE facilities in the most recent program year, that’s an estimated annual savings of </w:t>
      </w:r>
      <w:r w:rsidR="004773BD">
        <w:t xml:space="preserve">nearly $402 million. </w:t>
      </w:r>
    </w:p>
    <w:p w:rsidR="00884479" w:rsidRDefault="0085751E" w:rsidP="00175F55">
      <w:r>
        <w:br w:type="page"/>
      </w:r>
    </w:p>
    <w:tbl>
      <w:tblPr>
        <w:tblStyle w:val="TableGrid"/>
        <w:tblpPr w:leftFromText="187" w:rightFromText="187" w:bottomFromText="187" w:vertAnchor="text" w:horzAnchor="margin" w:tblpY="44"/>
        <w:tblW w:w="9390" w:type="dxa"/>
        <w:tblBorders>
          <w:top w:val="none" w:sz="0" w:space="0" w:color="auto"/>
          <w:left w:val="none" w:sz="0" w:space="0" w:color="auto"/>
          <w:bottom w:val="none" w:sz="0" w:space="0" w:color="auto"/>
          <w:right w:val="none" w:sz="0" w:space="0" w:color="auto"/>
          <w:insideH w:val="none" w:sz="0" w:space="0" w:color="auto"/>
          <w:insideV w:val="single" w:sz="4" w:space="0" w:color="0070C0"/>
        </w:tblBorders>
        <w:tblCellMar>
          <w:left w:w="115" w:type="dxa"/>
          <w:right w:w="115" w:type="dxa"/>
        </w:tblCellMar>
        <w:tblLook w:val="04A0" w:firstRow="1" w:lastRow="0" w:firstColumn="1" w:lastColumn="0" w:noHBand="0" w:noVBand="1"/>
      </w:tblPr>
      <w:tblGrid>
        <w:gridCol w:w="1545"/>
        <w:gridCol w:w="1878"/>
        <w:gridCol w:w="5967"/>
      </w:tblGrid>
      <w:tr w:rsidR="00FB5690" w:rsidRPr="00446214" w:rsidTr="0000355D">
        <w:trPr>
          <w:trHeight w:val="206"/>
        </w:trPr>
        <w:tc>
          <w:tcPr>
            <w:tcW w:w="9390" w:type="dxa"/>
            <w:gridSpan w:val="3"/>
          </w:tcPr>
          <w:p w:rsidR="00FB5690" w:rsidRDefault="00446214" w:rsidP="00446214">
            <w:pPr>
              <w:rPr>
                <w:i/>
                <w:color w:val="0070C0"/>
                <w:sz w:val="24"/>
                <w:szCs w:val="24"/>
              </w:rPr>
            </w:pPr>
            <w:r>
              <w:rPr>
                <w:i/>
                <w:color w:val="0070C0"/>
                <w:sz w:val="24"/>
                <w:szCs w:val="24"/>
              </w:rPr>
              <w:lastRenderedPageBreak/>
              <w:t>Figure 4. Contract detention annual cost s</w:t>
            </w:r>
            <w:r w:rsidR="00FB5690" w:rsidRPr="00446214">
              <w:rPr>
                <w:i/>
                <w:color w:val="0070C0"/>
                <w:sz w:val="24"/>
                <w:szCs w:val="24"/>
              </w:rPr>
              <w:t xml:space="preserve">avings to </w:t>
            </w:r>
            <w:r w:rsidR="00635FA3" w:rsidRPr="00446214">
              <w:rPr>
                <w:i/>
                <w:color w:val="0070C0"/>
                <w:sz w:val="24"/>
                <w:szCs w:val="24"/>
              </w:rPr>
              <w:t>Im</w:t>
            </w:r>
            <w:r>
              <w:rPr>
                <w:i/>
                <w:color w:val="0070C0"/>
                <w:sz w:val="24"/>
                <w:szCs w:val="24"/>
              </w:rPr>
              <w:t>migration &amp; Customs Enforcement</w:t>
            </w:r>
          </w:p>
          <w:p w:rsidR="00446214" w:rsidRPr="00446214" w:rsidRDefault="00446214" w:rsidP="00446214">
            <w:pPr>
              <w:rPr>
                <w:i/>
                <w:sz w:val="24"/>
                <w:szCs w:val="24"/>
              </w:rPr>
            </w:pPr>
          </w:p>
        </w:tc>
      </w:tr>
      <w:tr w:rsidR="00FB5690" w:rsidRPr="00F1643D" w:rsidTr="00D477F3">
        <w:trPr>
          <w:trHeight w:val="246"/>
        </w:trPr>
        <w:tc>
          <w:tcPr>
            <w:tcW w:w="1607" w:type="dxa"/>
            <w:tcBorders>
              <w:right w:val="nil"/>
            </w:tcBorders>
            <w:shd w:val="clear" w:color="auto" w:fill="auto"/>
          </w:tcPr>
          <w:p w:rsidR="00FB5690" w:rsidRDefault="00FB5690" w:rsidP="0000355D">
            <w:pPr>
              <w:jc w:val="right"/>
            </w:pPr>
          </w:p>
        </w:tc>
        <w:tc>
          <w:tcPr>
            <w:tcW w:w="1571" w:type="dxa"/>
            <w:tcBorders>
              <w:left w:val="nil"/>
            </w:tcBorders>
            <w:shd w:val="clear" w:color="auto" w:fill="auto"/>
          </w:tcPr>
          <w:p w:rsidR="00FB5690" w:rsidRPr="00F1643D" w:rsidRDefault="00635FA3" w:rsidP="0000355D">
            <w:pPr>
              <w:jc w:val="right"/>
              <w:rPr>
                <w:i/>
              </w:rPr>
            </w:pPr>
            <w:r>
              <w:rPr>
                <w:i/>
              </w:rPr>
              <w:t>27,422</w:t>
            </w:r>
          </w:p>
        </w:tc>
        <w:tc>
          <w:tcPr>
            <w:tcW w:w="6212" w:type="dxa"/>
            <w:shd w:val="clear" w:color="auto" w:fill="auto"/>
          </w:tcPr>
          <w:p w:rsidR="00FB5690" w:rsidRPr="00F1643D" w:rsidRDefault="00FB5690" w:rsidP="0000355D">
            <w:pPr>
              <w:rPr>
                <w:i/>
              </w:rPr>
            </w:pPr>
            <w:r w:rsidRPr="00F1643D">
              <w:rPr>
                <w:i/>
              </w:rPr>
              <w:t>Average population in contract facilities</w:t>
            </w:r>
          </w:p>
        </w:tc>
      </w:tr>
      <w:tr w:rsidR="00FB5690" w:rsidRPr="00F1643D" w:rsidTr="00D477F3">
        <w:trPr>
          <w:trHeight w:val="206"/>
        </w:trPr>
        <w:tc>
          <w:tcPr>
            <w:tcW w:w="1607" w:type="dxa"/>
            <w:tcBorders>
              <w:bottom w:val="nil"/>
              <w:right w:val="nil"/>
            </w:tcBorders>
            <w:shd w:val="clear" w:color="auto" w:fill="auto"/>
          </w:tcPr>
          <w:p w:rsidR="00FB5690" w:rsidRDefault="00FB5690" w:rsidP="0000355D">
            <w:pPr>
              <w:jc w:val="right"/>
            </w:pPr>
            <w:r>
              <w:t>X</w:t>
            </w:r>
          </w:p>
        </w:tc>
        <w:tc>
          <w:tcPr>
            <w:tcW w:w="1571" w:type="dxa"/>
            <w:tcBorders>
              <w:left w:val="nil"/>
              <w:bottom w:val="nil"/>
            </w:tcBorders>
            <w:shd w:val="clear" w:color="auto" w:fill="auto"/>
          </w:tcPr>
          <w:p w:rsidR="00FB5690" w:rsidRPr="00F1643D" w:rsidRDefault="00FB5690" w:rsidP="00635FA3">
            <w:pPr>
              <w:jc w:val="right"/>
              <w:rPr>
                <w:i/>
              </w:rPr>
            </w:pPr>
            <w:r w:rsidRPr="00F1643D">
              <w:rPr>
                <w:i/>
              </w:rPr>
              <w:t>$</w:t>
            </w:r>
            <w:r w:rsidR="00635FA3">
              <w:rPr>
                <w:i/>
              </w:rPr>
              <w:t>40.12</w:t>
            </w:r>
          </w:p>
        </w:tc>
        <w:tc>
          <w:tcPr>
            <w:tcW w:w="6212" w:type="dxa"/>
            <w:tcBorders>
              <w:bottom w:val="nil"/>
            </w:tcBorders>
            <w:shd w:val="clear" w:color="auto" w:fill="auto"/>
          </w:tcPr>
          <w:p w:rsidR="00FB5690" w:rsidRPr="00F1643D" w:rsidRDefault="00FB5690" w:rsidP="0000355D">
            <w:pPr>
              <w:rPr>
                <w:i/>
              </w:rPr>
            </w:pPr>
            <w:r w:rsidRPr="00F1643D">
              <w:rPr>
                <w:i/>
              </w:rPr>
              <w:t>Average daily per person cost savings</w:t>
            </w:r>
          </w:p>
        </w:tc>
      </w:tr>
      <w:tr w:rsidR="00FB5690" w:rsidRPr="00F1643D" w:rsidTr="00D477F3">
        <w:trPr>
          <w:trHeight w:val="193"/>
        </w:trPr>
        <w:tc>
          <w:tcPr>
            <w:tcW w:w="1607" w:type="dxa"/>
            <w:tcBorders>
              <w:bottom w:val="single" w:sz="4" w:space="0" w:color="0070C0"/>
              <w:right w:val="nil"/>
            </w:tcBorders>
            <w:shd w:val="clear" w:color="auto" w:fill="auto"/>
          </w:tcPr>
          <w:p w:rsidR="00FB5690" w:rsidRDefault="00FB5690" w:rsidP="0000355D">
            <w:pPr>
              <w:jc w:val="right"/>
            </w:pPr>
            <w:r>
              <w:t>X</w:t>
            </w:r>
          </w:p>
        </w:tc>
        <w:tc>
          <w:tcPr>
            <w:tcW w:w="1571" w:type="dxa"/>
            <w:tcBorders>
              <w:left w:val="nil"/>
              <w:bottom w:val="single" w:sz="4" w:space="0" w:color="0070C0"/>
            </w:tcBorders>
            <w:shd w:val="clear" w:color="auto" w:fill="auto"/>
          </w:tcPr>
          <w:p w:rsidR="00FB5690" w:rsidRPr="00F1643D" w:rsidRDefault="00FB5690" w:rsidP="0000355D">
            <w:pPr>
              <w:jc w:val="right"/>
              <w:rPr>
                <w:i/>
              </w:rPr>
            </w:pPr>
            <w:r w:rsidRPr="00F1643D">
              <w:rPr>
                <w:i/>
              </w:rPr>
              <w:t>365</w:t>
            </w:r>
          </w:p>
        </w:tc>
        <w:tc>
          <w:tcPr>
            <w:tcW w:w="6212" w:type="dxa"/>
            <w:tcBorders>
              <w:bottom w:val="single" w:sz="4" w:space="0" w:color="0070C0"/>
            </w:tcBorders>
            <w:shd w:val="clear" w:color="auto" w:fill="auto"/>
          </w:tcPr>
          <w:p w:rsidR="00FB5690" w:rsidRPr="00F1643D" w:rsidRDefault="00FB5690" w:rsidP="0000355D">
            <w:pPr>
              <w:rPr>
                <w:i/>
              </w:rPr>
            </w:pPr>
            <w:r w:rsidRPr="00F1643D">
              <w:rPr>
                <w:i/>
              </w:rPr>
              <w:t>Days per year</w:t>
            </w:r>
          </w:p>
        </w:tc>
      </w:tr>
      <w:tr w:rsidR="00FB5690" w:rsidRPr="00477466" w:rsidTr="00D477F3">
        <w:trPr>
          <w:trHeight w:val="56"/>
        </w:trPr>
        <w:tc>
          <w:tcPr>
            <w:tcW w:w="1607" w:type="dxa"/>
            <w:tcBorders>
              <w:top w:val="single" w:sz="4" w:space="0" w:color="0070C0"/>
              <w:right w:val="nil"/>
            </w:tcBorders>
            <w:shd w:val="clear" w:color="auto" w:fill="auto"/>
          </w:tcPr>
          <w:p w:rsidR="00FB5690" w:rsidRPr="00477466" w:rsidRDefault="00FB5690" w:rsidP="0000355D">
            <w:pPr>
              <w:jc w:val="right"/>
              <w:rPr>
                <w:b/>
                <w:color w:val="0070C0"/>
                <w:sz w:val="24"/>
                <w:szCs w:val="24"/>
              </w:rPr>
            </w:pPr>
            <w:r w:rsidRPr="00477466">
              <w:rPr>
                <w:b/>
                <w:color w:val="0070C0"/>
                <w:sz w:val="24"/>
                <w:szCs w:val="24"/>
              </w:rPr>
              <w:t>=</w:t>
            </w:r>
          </w:p>
        </w:tc>
        <w:tc>
          <w:tcPr>
            <w:tcW w:w="1571" w:type="dxa"/>
            <w:tcBorders>
              <w:top w:val="single" w:sz="4" w:space="0" w:color="0070C0"/>
              <w:left w:val="nil"/>
              <w:right w:val="single" w:sz="4" w:space="0" w:color="0070C0"/>
            </w:tcBorders>
            <w:shd w:val="clear" w:color="auto" w:fill="auto"/>
          </w:tcPr>
          <w:p w:rsidR="00FB5690" w:rsidRPr="00477466" w:rsidRDefault="00FB5690" w:rsidP="00635FA3">
            <w:pPr>
              <w:jc w:val="right"/>
              <w:rPr>
                <w:b/>
                <w:color w:val="0070C0"/>
                <w:sz w:val="24"/>
                <w:szCs w:val="24"/>
              </w:rPr>
            </w:pPr>
            <w:r w:rsidRPr="00477466">
              <w:rPr>
                <w:b/>
                <w:color w:val="0070C0"/>
                <w:sz w:val="24"/>
                <w:szCs w:val="24"/>
              </w:rPr>
              <w:t>$</w:t>
            </w:r>
            <w:r w:rsidR="00635FA3">
              <w:rPr>
                <w:b/>
                <w:color w:val="0070C0"/>
                <w:sz w:val="24"/>
                <w:szCs w:val="24"/>
              </w:rPr>
              <w:t>401,565,212</w:t>
            </w:r>
            <w:r w:rsidR="008F30E4">
              <w:rPr>
                <w:b/>
                <w:color w:val="0070C0"/>
                <w:sz w:val="24"/>
                <w:szCs w:val="24"/>
              </w:rPr>
              <w:t>.36</w:t>
            </w:r>
          </w:p>
        </w:tc>
        <w:tc>
          <w:tcPr>
            <w:tcW w:w="6212" w:type="dxa"/>
            <w:tcBorders>
              <w:top w:val="single" w:sz="4" w:space="0" w:color="0070C0"/>
              <w:left w:val="single" w:sz="4" w:space="0" w:color="0070C0"/>
            </w:tcBorders>
            <w:shd w:val="clear" w:color="auto" w:fill="auto"/>
          </w:tcPr>
          <w:p w:rsidR="00FB5690" w:rsidRPr="00477466" w:rsidRDefault="00FB5690" w:rsidP="0000355D">
            <w:pPr>
              <w:rPr>
                <w:b/>
                <w:color w:val="0070C0"/>
                <w:sz w:val="24"/>
                <w:szCs w:val="24"/>
              </w:rPr>
            </w:pPr>
            <w:r w:rsidRPr="00477466">
              <w:rPr>
                <w:b/>
                <w:color w:val="0070C0"/>
                <w:sz w:val="24"/>
                <w:szCs w:val="24"/>
              </w:rPr>
              <w:t>Estimated annual cost savings</w:t>
            </w:r>
          </w:p>
        </w:tc>
      </w:tr>
    </w:tbl>
    <w:p w:rsidR="007300AD" w:rsidRPr="00C921C4" w:rsidRDefault="00004C6A" w:rsidP="00C921C4">
      <w:r>
        <w:t xml:space="preserve">In many cases, government </w:t>
      </w:r>
      <w:r w:rsidR="00D2739A">
        <w:t>entities</w:t>
      </w:r>
      <w:r w:rsidR="00BF45FB">
        <w:t xml:space="preserve"> require contractors to save taxpayers money</w:t>
      </w:r>
      <w:r w:rsidR="00C921C4">
        <w:t xml:space="preserve">. For example, </w:t>
      </w:r>
      <w:r w:rsidR="007300AD" w:rsidRPr="007300AD">
        <w:t xml:space="preserve">Mississippi state law requires </w:t>
      </w:r>
      <w:r w:rsidR="004552EE">
        <w:t>contract prisons</w:t>
      </w:r>
      <w:r w:rsidR="007300AD" w:rsidRPr="007300AD">
        <w:t xml:space="preserve"> to provide at least a ten percent cost savings to the state</w:t>
      </w:r>
      <w:r w:rsidR="00C921C4">
        <w:t>, Ohio mandates a five percent savings, and Florida requires contract prisons to save the state seven percent.</w:t>
      </w:r>
    </w:p>
    <w:p w:rsidR="00C921C4" w:rsidRDefault="00C921C4" w:rsidP="00C921C4">
      <w:r>
        <w:t xml:space="preserve">How </w:t>
      </w:r>
      <w:r w:rsidR="00844743">
        <w:t xml:space="preserve">do </w:t>
      </w:r>
      <w:r>
        <w:t>contractors provide these cost sav</w:t>
      </w:r>
      <w:r w:rsidR="00071B22">
        <w:t xml:space="preserve">ings? Contractors are able to </w:t>
      </w:r>
      <w:r w:rsidR="00766471">
        <w:t xml:space="preserve">realize </w:t>
      </w:r>
      <w:r>
        <w:t xml:space="preserve">savings on purchasing through </w:t>
      </w:r>
      <w:r w:rsidR="00CF69E9">
        <w:t xml:space="preserve">negotiated </w:t>
      </w:r>
      <w:r>
        <w:t xml:space="preserve">strategic agreements with vendors. </w:t>
      </w:r>
      <w:r w:rsidR="00071B22">
        <w:t xml:space="preserve">They are also able </w:t>
      </w:r>
      <w:r>
        <w:t>to provide competitive pay</w:t>
      </w:r>
      <w:r w:rsidR="006F5025">
        <w:t>, healthcare,</w:t>
      </w:r>
      <w:r>
        <w:t xml:space="preserve"> and </w:t>
      </w:r>
      <w:r w:rsidR="006F5025">
        <w:t xml:space="preserve">retirement </w:t>
      </w:r>
      <w:r>
        <w:t>benefits</w:t>
      </w:r>
      <w:r w:rsidR="008A6C8A">
        <w:t>,</w:t>
      </w:r>
      <w:r>
        <w:t xml:space="preserve"> with</w:t>
      </w:r>
      <w:r w:rsidR="008A6C8A">
        <w:t>out</w:t>
      </w:r>
      <w:r>
        <w:t xml:space="preserve"> the requirement to offer the costly</w:t>
      </w:r>
      <w:r w:rsidR="00BF202C">
        <w:t>,</w:t>
      </w:r>
      <w:r>
        <w:t xml:space="preserve"> </w:t>
      </w:r>
      <w:r w:rsidR="00BF202C">
        <w:t xml:space="preserve">unsustainable </w:t>
      </w:r>
      <w:r w:rsidR="006F5025">
        <w:t xml:space="preserve">defined benefit </w:t>
      </w:r>
      <w:r>
        <w:t>pension</w:t>
      </w:r>
      <w:r w:rsidR="006F5025">
        <w:t xml:space="preserve"> plans</w:t>
      </w:r>
      <w:r>
        <w:t xml:space="preserve"> that are straining our state budgets</w:t>
      </w:r>
      <w:r w:rsidR="00C63676">
        <w:t>.</w:t>
      </w:r>
    </w:p>
    <w:p w:rsidR="00175F55" w:rsidRDefault="004130B5" w:rsidP="00175F55">
      <w:r>
        <w:t>Government agencies</w:t>
      </w:r>
      <w:r w:rsidR="00175F55">
        <w:t xml:space="preserve"> looking at how to provide high-quality correctional </w:t>
      </w:r>
      <w:r>
        <w:t xml:space="preserve">and detention </w:t>
      </w:r>
      <w:r w:rsidR="00175F55">
        <w:t xml:space="preserve">services in a way that is fiscally responsible should give contracting </w:t>
      </w:r>
      <w:r w:rsidR="00884639">
        <w:t xml:space="preserve">a more thorough </w:t>
      </w:r>
      <w:r w:rsidR="00175F55">
        <w:t xml:space="preserve">look. </w:t>
      </w:r>
      <w:r w:rsidR="0048589C">
        <w:t>Contract</w:t>
      </w:r>
      <w:r w:rsidR="00BF202C">
        <w:t xml:space="preserve">ing </w:t>
      </w:r>
      <w:r w:rsidR="0048589C">
        <w:t>can save taxpayers money, while still providing high performance.</w:t>
      </w:r>
    </w:p>
    <w:p w:rsidR="002053BF" w:rsidRPr="00446214" w:rsidRDefault="002053BF" w:rsidP="00446214">
      <w:pPr>
        <w:pStyle w:val="Heading1"/>
      </w:pPr>
      <w:r>
        <w:t xml:space="preserve">Contracting for performance in prison and detention facilities </w:t>
      </w:r>
      <w:r w:rsidR="00446214">
        <w:t>provides s</w:t>
      </w:r>
      <w:r w:rsidR="00446214" w:rsidRPr="00446214">
        <w:t>afe and secure facilities</w:t>
      </w:r>
    </w:p>
    <w:p w:rsidR="00BB303A" w:rsidRDefault="002053BF" w:rsidP="00D05655">
      <w:r>
        <w:t>Prisons and detention facilities are in</w:t>
      </w:r>
      <w:r w:rsidR="00D05655">
        <w:t>herently high-risk environments</w:t>
      </w:r>
      <w:r>
        <w:t xml:space="preserve">. </w:t>
      </w:r>
      <w:r w:rsidR="00B149C3">
        <w:t>As such</w:t>
      </w:r>
      <w:r w:rsidR="00D05655">
        <w:t xml:space="preserve">, </w:t>
      </w:r>
      <w:r w:rsidR="00935082">
        <w:t xml:space="preserve">the </w:t>
      </w:r>
      <w:r w:rsidR="00D05655">
        <w:t>s</w:t>
      </w:r>
      <w:r w:rsidR="00D05655" w:rsidRPr="006E0D36">
        <w:t xml:space="preserve">afety and security </w:t>
      </w:r>
      <w:r w:rsidR="00D05655">
        <w:t xml:space="preserve">of staff, inmates, </w:t>
      </w:r>
      <w:r w:rsidR="00844743">
        <w:t xml:space="preserve">detainees, </w:t>
      </w:r>
      <w:r w:rsidR="00D05655">
        <w:t xml:space="preserve">and the public </w:t>
      </w:r>
      <w:r w:rsidR="00D05655" w:rsidRPr="006E0D36">
        <w:t xml:space="preserve">are </w:t>
      </w:r>
      <w:r w:rsidR="00D05655" w:rsidRPr="00D05655">
        <w:rPr>
          <w:i/>
        </w:rPr>
        <w:t>the</w:t>
      </w:r>
      <w:r w:rsidR="00D05655" w:rsidRPr="006E0D36">
        <w:t xml:space="preserve"> top priority for both </w:t>
      </w:r>
      <w:r w:rsidR="00D05655">
        <w:t>government-</w:t>
      </w:r>
      <w:r w:rsidR="00D05655" w:rsidRPr="006E0D36">
        <w:t xml:space="preserve">operated and contract facilities. Contract </w:t>
      </w:r>
      <w:r w:rsidR="00177CEC">
        <w:t>facility operators</w:t>
      </w:r>
      <w:r w:rsidR="00D05655" w:rsidRPr="006E0D36">
        <w:t xml:space="preserve"> </w:t>
      </w:r>
      <w:r w:rsidR="00CC55AA">
        <w:t xml:space="preserve">adhere to the same standards as government-operated facilities to prevent </w:t>
      </w:r>
      <w:r w:rsidR="00BA1509">
        <w:t>incidents</w:t>
      </w:r>
      <w:r w:rsidR="00CC55AA">
        <w:t>, ensure inmates, detainees, and staff are safe, keep contraband out of facilities, and maintain orderly environment</w:t>
      </w:r>
      <w:r w:rsidR="00BA1509">
        <w:t>s</w:t>
      </w:r>
      <w:r w:rsidR="00CC55AA">
        <w:t xml:space="preserve">. </w:t>
      </w:r>
      <w:r w:rsidR="00234286">
        <w:t>Additionally, m</w:t>
      </w:r>
      <w:r w:rsidR="00CC55AA">
        <w:t xml:space="preserve">any </w:t>
      </w:r>
      <w:r w:rsidR="00B149C3">
        <w:t xml:space="preserve">government </w:t>
      </w:r>
      <w:r w:rsidR="00234286">
        <w:t xml:space="preserve">agencies </w:t>
      </w:r>
      <w:r w:rsidR="00CC55AA">
        <w:t xml:space="preserve">require both contract and </w:t>
      </w:r>
      <w:r w:rsidR="00BB303A">
        <w:t xml:space="preserve">government-operated </w:t>
      </w:r>
      <w:r w:rsidR="00CC55AA">
        <w:t xml:space="preserve">facilities to maintain accreditation by the American Correctional Association, which audits facilities to ensure compliance with </w:t>
      </w:r>
      <w:r w:rsidR="00844743">
        <w:t xml:space="preserve">hundreds of </w:t>
      </w:r>
      <w:r w:rsidR="00CC55AA">
        <w:t xml:space="preserve">rigorous safety and security standards. </w:t>
      </w:r>
      <w:r w:rsidR="00BB303A">
        <w:t xml:space="preserve">Contract facilities are also required to </w:t>
      </w:r>
      <w:r w:rsidR="00D05655" w:rsidRPr="006E0D36">
        <w:t xml:space="preserve">provide the same </w:t>
      </w:r>
      <w:r w:rsidR="00D05655">
        <w:t>amount</w:t>
      </w:r>
      <w:r w:rsidR="00D05655" w:rsidRPr="006E0D36">
        <w:t xml:space="preserve"> and quality of </w:t>
      </w:r>
      <w:r w:rsidR="00D05655">
        <w:t xml:space="preserve">safety and security </w:t>
      </w:r>
      <w:r w:rsidR="00D05655" w:rsidRPr="006E0D36">
        <w:t xml:space="preserve">training </w:t>
      </w:r>
      <w:r w:rsidR="00D05655">
        <w:t xml:space="preserve">to staff </w:t>
      </w:r>
      <w:r w:rsidR="00D05655" w:rsidRPr="006E0D36">
        <w:t>as their government counterparts</w:t>
      </w:r>
      <w:r w:rsidR="00D05655">
        <w:t xml:space="preserve">. </w:t>
      </w:r>
    </w:p>
    <w:p w:rsidR="002053BF" w:rsidRDefault="00086698" w:rsidP="002053BF">
      <w:r>
        <w:t xml:space="preserve">Throughout the years, several studies have compared the safety and security outcomes of contract </w:t>
      </w:r>
      <w:r w:rsidR="00D76C9D">
        <w:t>correctional</w:t>
      </w:r>
      <w:r>
        <w:t xml:space="preserve"> and detention centers with those of government-operated facilities. In 2007, </w:t>
      </w:r>
      <w:r w:rsidR="00935082">
        <w:t xml:space="preserve">University of Utah </w:t>
      </w:r>
      <w:r>
        <w:t xml:space="preserve">researchers combined the results of </w:t>
      </w:r>
      <w:r w:rsidR="005E2F38">
        <w:t>five of</w:t>
      </w:r>
      <w:r w:rsidR="00935082">
        <w:t xml:space="preserve"> the most rigorous </w:t>
      </w:r>
      <w:r w:rsidR="005E2F38">
        <w:t>studies on prison safety. Three of the studies showed contract prisons perform better in prison safety, while two sho</w:t>
      </w:r>
      <w:r w:rsidR="00935082">
        <w:t>wed</w:t>
      </w:r>
      <w:r>
        <w:t xml:space="preserve"> </w:t>
      </w:r>
      <w:r w:rsidR="005E2F38">
        <w:t>higher safety outcomes for the publicly</w:t>
      </w:r>
      <w:r w:rsidR="00E522AC">
        <w:t xml:space="preserve"> </w:t>
      </w:r>
      <w:r w:rsidR="005E2F38">
        <w:t xml:space="preserve">operated prisons. Overall, the authors concluded that contract prisons perform </w:t>
      </w:r>
      <w:r w:rsidR="00935082">
        <w:t xml:space="preserve">just </w:t>
      </w:r>
      <w:r w:rsidR="005E2F38">
        <w:t>as well as privately operated prisons in ensuring prison safety.</w:t>
      </w:r>
      <w:r w:rsidR="005E2F38">
        <w:rPr>
          <w:rStyle w:val="EndnoteReference"/>
        </w:rPr>
        <w:endnoteReference w:id="15"/>
      </w:r>
    </w:p>
    <w:p w:rsidR="002053BF" w:rsidRDefault="003B76C2" w:rsidP="002053BF">
      <w:r>
        <w:t>Despite the evidence that contract prisons and detention centers provide the same level of safety and security as their government counterparts, c</w:t>
      </w:r>
      <w:r w:rsidR="002053BF">
        <w:t xml:space="preserve">ritics </w:t>
      </w:r>
      <w:r>
        <w:t xml:space="preserve">continue to </w:t>
      </w:r>
      <w:r w:rsidR="002053BF" w:rsidRPr="006E0D36">
        <w:t xml:space="preserve">falsely claim that safety and security incidents are more </w:t>
      </w:r>
      <w:r w:rsidR="0044075B">
        <w:t>prevalent</w:t>
      </w:r>
      <w:r w:rsidR="002053BF" w:rsidRPr="006E0D36">
        <w:t xml:space="preserve"> in co</w:t>
      </w:r>
      <w:r w:rsidR="002053BF">
        <w:t>ntract facilities</w:t>
      </w:r>
      <w:r w:rsidR="002053BF" w:rsidRPr="006E0D36">
        <w:t xml:space="preserve">. They often cite as evidence </w:t>
      </w:r>
      <w:r w:rsidR="0044075B">
        <w:t xml:space="preserve">a </w:t>
      </w:r>
      <w:r w:rsidR="002053BF">
        <w:t xml:space="preserve">flawed interpretation of </w:t>
      </w:r>
      <w:r w:rsidR="002053BF" w:rsidRPr="006E0D36">
        <w:t>a 2016 Office of Inspector General (OIG) report on contract monitoring in the Federal Bureau of Prisons (BOP). In the report, the OIG compared several safety and security measures at 14 contract pri</w:t>
      </w:r>
      <w:r w:rsidR="0044075B">
        <w:t>sons with those at 14 BOP-</w:t>
      </w:r>
      <w:r w:rsidR="002053BF" w:rsidRPr="006E0D36">
        <w:t xml:space="preserve">operated prisons. </w:t>
      </w:r>
      <w:r w:rsidR="0044075B">
        <w:t xml:space="preserve">The contract facilities in the report all housed non-U.S. citizens convicted of crimes in the U.S., while the BOP-operated prisons housed a mixed population of U.S. </w:t>
      </w:r>
      <w:r w:rsidR="0044075B">
        <w:lastRenderedPageBreak/>
        <w:t xml:space="preserve">citizens. </w:t>
      </w:r>
      <w:r w:rsidR="002053BF" w:rsidRPr="006E0D36">
        <w:t>The OIG</w:t>
      </w:r>
      <w:r w:rsidR="0044075B">
        <w:t>’s</w:t>
      </w:r>
      <w:r w:rsidR="002053BF" w:rsidRPr="006E0D36">
        <w:t xml:space="preserve"> comparison</w:t>
      </w:r>
      <w:r w:rsidR="0044075B">
        <w:t xml:space="preserve"> of safety and security outcomes did not control for the stark differences in inmate populations</w:t>
      </w:r>
      <w:r w:rsidR="000311DA">
        <w:t>. Without these controls, it’s impossible to say if any differences in safety and security outcomes were a result of the operator or whether they were sim</w:t>
      </w:r>
      <w:r w:rsidR="00240448">
        <w:t>ply an</w:t>
      </w:r>
      <w:r w:rsidR="000311DA">
        <w:t xml:space="preserve"> effect of comparing two dramatically different types of inmates. </w:t>
      </w:r>
      <w:r w:rsidR="002053BF" w:rsidRPr="006E0D36">
        <w:t>In its response to the report, the BOP itself “caution</w:t>
      </w:r>
      <w:r w:rsidR="00844743">
        <w:t>[</w:t>
      </w:r>
      <w:r w:rsidR="002053BF" w:rsidRPr="006E0D36">
        <w:t>ed</w:t>
      </w:r>
      <w:r w:rsidR="00844743">
        <w:t>]</w:t>
      </w:r>
      <w:r w:rsidR="002053BF" w:rsidRPr="006E0D36">
        <w:t xml:space="preserve"> against drawing comparisons of contract prisons to BOP-operated facilities as the different nature of the inmate populations and programs offered in each facility limit such comparisons.”</w:t>
      </w:r>
      <w:r w:rsidR="00467EA7">
        <w:rPr>
          <w:rStyle w:val="EndnoteReference"/>
        </w:rPr>
        <w:endnoteReference w:id="16"/>
      </w:r>
      <w:r w:rsidR="002053BF" w:rsidRPr="006E0D36">
        <w:t xml:space="preserve">  </w:t>
      </w:r>
    </w:p>
    <w:p w:rsidR="002053BF" w:rsidRDefault="002053BF" w:rsidP="002053BF">
      <w:r>
        <w:t xml:space="preserve">Despite BOP’s caution against drawing comparisons between safety measures in contracted and BOP-operated facilities, opponents </w:t>
      </w:r>
      <w:r w:rsidR="00844743">
        <w:t xml:space="preserve">of contract prisons </w:t>
      </w:r>
      <w:r>
        <w:t>have done just that.</w:t>
      </w:r>
      <w:r w:rsidR="00043F12">
        <w:t xml:space="preserve"> Soon after the OIG report was released, the D</w:t>
      </w:r>
      <w:r w:rsidR="00234286">
        <w:t xml:space="preserve">epartment of Justice </w:t>
      </w:r>
      <w:r w:rsidR="00043F12">
        <w:t>issued a memo to BOP expressing a desire to phase out contract prisons</w:t>
      </w:r>
      <w:r w:rsidR="002954F7">
        <w:t>, citing the results of the OIG report as justification</w:t>
      </w:r>
      <w:r w:rsidR="009F5513">
        <w:t>.</w:t>
      </w:r>
      <w:r>
        <w:rPr>
          <w:rStyle w:val="EndnoteReference"/>
        </w:rPr>
        <w:endnoteReference w:id="17"/>
      </w:r>
    </w:p>
    <w:p w:rsidR="00215AD7" w:rsidRDefault="00215AD7" w:rsidP="002053BF">
      <w:r>
        <w:t xml:space="preserve">Rigorous studies have shown that </w:t>
      </w:r>
      <w:r w:rsidR="002954F7">
        <w:t>c</w:t>
      </w:r>
      <w:r w:rsidR="00120136">
        <w:t>ontract facilities do</w:t>
      </w:r>
      <w:r w:rsidR="00240448">
        <w:t xml:space="preserve"> in fact</w:t>
      </w:r>
      <w:r w:rsidR="00120136">
        <w:t xml:space="preserve"> provide the same level of safety and security</w:t>
      </w:r>
      <w:r w:rsidR="002954F7">
        <w:t>. I</w:t>
      </w:r>
      <w:r w:rsidR="00120136">
        <w:t>n some cases</w:t>
      </w:r>
      <w:r w:rsidR="002954F7">
        <w:t>,</w:t>
      </w:r>
      <w:r w:rsidR="00120136">
        <w:t xml:space="preserve"> outcomes in contract facilities are better. </w:t>
      </w:r>
      <w:r>
        <w:t>This is because government agencies select pr</w:t>
      </w:r>
      <w:r w:rsidR="00120136">
        <w:t xml:space="preserve">ivate-sector companies with </w:t>
      </w:r>
      <w:r>
        <w:t xml:space="preserve">experience and expertise </w:t>
      </w:r>
      <w:r w:rsidR="00120136">
        <w:t>in</w:t>
      </w:r>
      <w:r>
        <w:t xml:space="preserve"> deliver</w:t>
      </w:r>
      <w:r w:rsidR="00120136">
        <w:t>ing</w:t>
      </w:r>
      <w:r>
        <w:t xml:space="preserve"> strong safety outcomes</w:t>
      </w:r>
      <w:r w:rsidR="00120136">
        <w:t>,</w:t>
      </w:r>
      <w:r>
        <w:t xml:space="preserve"> and </w:t>
      </w:r>
      <w:r w:rsidR="00120136">
        <w:t xml:space="preserve">they </w:t>
      </w:r>
      <w:r>
        <w:t xml:space="preserve">hold </w:t>
      </w:r>
      <w:r w:rsidR="00120136">
        <w:t xml:space="preserve">companies </w:t>
      </w:r>
      <w:r>
        <w:t>accountable for achieving those outcomes.</w:t>
      </w:r>
    </w:p>
    <w:p w:rsidR="00175F55" w:rsidRDefault="007D5634" w:rsidP="00205E81">
      <w:pPr>
        <w:pStyle w:val="Heading1"/>
      </w:pPr>
      <w:r>
        <w:t xml:space="preserve">Contracting for </w:t>
      </w:r>
      <w:r w:rsidR="00205E81">
        <w:t xml:space="preserve">performance in </w:t>
      </w:r>
      <w:r>
        <w:t xml:space="preserve">prison and detention management </w:t>
      </w:r>
      <w:r w:rsidR="00205E81">
        <w:t>p</w:t>
      </w:r>
      <w:r w:rsidR="00205E81" w:rsidRPr="00205E81">
        <w:t xml:space="preserve">rovides government </w:t>
      </w:r>
      <w:r w:rsidR="00446214">
        <w:t>a</w:t>
      </w:r>
      <w:r w:rsidR="00446214" w:rsidRPr="00446214">
        <w:t>n effective tool to hold facilities accountable for high performance</w:t>
      </w:r>
    </w:p>
    <w:p w:rsidR="00473A9C" w:rsidRDefault="00473A9C" w:rsidP="00473A9C">
      <w:r>
        <w:t xml:space="preserve">Government agencies can </w:t>
      </w:r>
      <w:r w:rsidR="001E1786">
        <w:t xml:space="preserve">hold </w:t>
      </w:r>
      <w:r w:rsidR="00D76C9D">
        <w:t>correctional</w:t>
      </w:r>
      <w:r w:rsidR="001E1786">
        <w:t xml:space="preserve"> and detention facilities to higher standards of performance and accountability through </w:t>
      </w:r>
      <w:r>
        <w:t xml:space="preserve">contracting. </w:t>
      </w:r>
      <w:r w:rsidR="00D76C9D">
        <w:t>C</w:t>
      </w:r>
      <w:r>
        <w:t xml:space="preserve">ontracts clearly spell out operational, staffing, and programmatic requirements and expectations, including consequences for failure to comply, up to and including contract cancellation. Staff from the offices of each state or federal agency work on-site at contracted facilities </w:t>
      </w:r>
      <w:r w:rsidR="00844743">
        <w:t xml:space="preserve">daily </w:t>
      </w:r>
      <w:r>
        <w:t>to monitor performance and ensure compliance with the terms of the contract as well as state and federal laws, rules, and regulations. Governments also conduct comprehensive quarterly and annual safety and security compliance audits.</w:t>
      </w:r>
    </w:p>
    <w:p w:rsidR="00473A9C" w:rsidRDefault="00473A9C" w:rsidP="00473A9C">
      <w:r>
        <w:t>C</w:t>
      </w:r>
      <w:r w:rsidR="003C667A">
        <w:t xml:space="preserve">ontracting can actually </w:t>
      </w:r>
      <w:r w:rsidR="003C667A" w:rsidRPr="009A54E6">
        <w:rPr>
          <w:i/>
        </w:rPr>
        <w:t>increase</w:t>
      </w:r>
      <w:r w:rsidR="003C667A">
        <w:t xml:space="preserve"> the accountability of a prison or detention facility. How is this possible? </w:t>
      </w:r>
      <w:r w:rsidR="009A54E6">
        <w:t>C</w:t>
      </w:r>
      <w:r w:rsidR="003C667A">
        <w:t xml:space="preserve">ontractors are accountable </w:t>
      </w:r>
      <w:r w:rsidR="009A54E6">
        <w:t xml:space="preserve">in </w:t>
      </w:r>
      <w:r w:rsidR="003C667A">
        <w:t>way</w:t>
      </w:r>
      <w:r w:rsidR="009A54E6">
        <w:t>s</w:t>
      </w:r>
      <w:r w:rsidR="003C667A">
        <w:t xml:space="preserve"> that public correctional facilities aren’t. Contractors must meet or exceed contract requirements and standards in order to win and keep contracts. Failure to do so can result in monetary fines o</w:t>
      </w:r>
      <w:r w:rsidR="00DE24C5">
        <w:t>r even the loss of the contract</w:t>
      </w:r>
      <w:r w:rsidR="008A43ED">
        <w:t>.</w:t>
      </w:r>
      <w:r w:rsidR="002C6DE4">
        <w:rPr>
          <w:rStyle w:val="EndnoteReference"/>
        </w:rPr>
        <w:endnoteReference w:id="18"/>
      </w:r>
      <w:r w:rsidR="008A43ED">
        <w:t xml:space="preserve"> </w:t>
      </w:r>
    </w:p>
    <w:p w:rsidR="009A54E6" w:rsidRDefault="007F0A65" w:rsidP="009A54E6">
      <w:r>
        <w:t>Government agencies</w:t>
      </w:r>
      <w:r w:rsidR="009A54E6">
        <w:t xml:space="preserve"> interested in increased accountability in the corrections and detention systems should give contracting for performance </w:t>
      </w:r>
      <w:r w:rsidR="00EA3A7D">
        <w:t>a more serious</w:t>
      </w:r>
      <w:r w:rsidR="009A54E6">
        <w:t xml:space="preserve"> look. With contracting, </w:t>
      </w:r>
      <w:r w:rsidR="00EA3A7D">
        <w:t xml:space="preserve">the </w:t>
      </w:r>
      <w:r w:rsidR="009A54E6">
        <w:t>government retains the authority to s</w:t>
      </w:r>
      <w:r w:rsidR="0067070F">
        <w:t>et standards</w:t>
      </w:r>
      <w:r w:rsidR="009A54E6">
        <w:t>, monitor compliance, incentivize and reward strong performance,</w:t>
      </w:r>
      <w:r w:rsidR="007356CE">
        <w:t xml:space="preserve"> and find a new operator if the facility </w:t>
      </w:r>
      <w:r w:rsidR="009A54E6">
        <w:t xml:space="preserve">fails to perform. </w:t>
      </w:r>
      <w:r w:rsidR="00884639">
        <w:t>Contracting is an effective tool to increase performance and accountability.</w:t>
      </w:r>
    </w:p>
    <w:p w:rsidR="00175F55" w:rsidRPr="008B2FDE" w:rsidRDefault="008B2FDE" w:rsidP="00792D3C">
      <w:pPr>
        <w:pStyle w:val="Heading1"/>
      </w:pPr>
      <w:r w:rsidRPr="008B2FDE">
        <w:t>W</w:t>
      </w:r>
      <w:r w:rsidR="00A11065">
        <w:t>hy</w:t>
      </w:r>
      <w:r w:rsidR="00D510B8">
        <w:t xml:space="preserve"> state legislators </w:t>
      </w:r>
      <w:r w:rsidR="00A11065">
        <w:t xml:space="preserve">should </w:t>
      </w:r>
      <w:r w:rsidRPr="008B2FDE">
        <w:t>give contracting for prison and detention management a</w:t>
      </w:r>
      <w:r w:rsidR="00D510B8">
        <w:t xml:space="preserve"> </w:t>
      </w:r>
      <w:r w:rsidR="0081500D">
        <w:t>closer</w:t>
      </w:r>
      <w:r w:rsidR="0081500D" w:rsidRPr="008B2FDE">
        <w:t xml:space="preserve"> </w:t>
      </w:r>
      <w:r w:rsidRPr="008B2FDE">
        <w:t>look</w:t>
      </w:r>
    </w:p>
    <w:p w:rsidR="008A677D" w:rsidRDefault="0097387D" w:rsidP="008B2FDE">
      <w:r>
        <w:t>As state l</w:t>
      </w:r>
      <w:r w:rsidR="008B2FDE">
        <w:t>awmakers</w:t>
      </w:r>
      <w:r>
        <w:t>, we have the responsibility to provide our correction</w:t>
      </w:r>
      <w:r w:rsidR="00CB3EE8">
        <w:t>al</w:t>
      </w:r>
      <w:r>
        <w:t xml:space="preserve"> agencies with the resources the</w:t>
      </w:r>
      <w:r w:rsidR="008A677D">
        <w:t>y</w:t>
      </w:r>
      <w:r>
        <w:t xml:space="preserve"> need to offer the best rehabilitative outcomes to incarcerated men and women. </w:t>
      </w:r>
      <w:r w:rsidR="008A677D">
        <w:t xml:space="preserve">We need to ensure that our citizens leave prison with all of the educational, vocational, and life skills they need to stay out of prison. Contracting for performance can improve the quality of rehabilitative programs in our prisons. </w:t>
      </w:r>
    </w:p>
    <w:p w:rsidR="008A677D" w:rsidRDefault="00751A06" w:rsidP="008B2FDE">
      <w:r>
        <w:lastRenderedPageBreak/>
        <w:t xml:space="preserve">State lawmakers </w:t>
      </w:r>
      <w:r w:rsidR="008A677D">
        <w:t xml:space="preserve">have the responsibility to balance our state budgets and keep the costs of managing our prison systems from escalating. Contracting for performance in prison management has been proven to save money, without sacrificing </w:t>
      </w:r>
      <w:r w:rsidR="00240448">
        <w:t xml:space="preserve">quality </w:t>
      </w:r>
      <w:r w:rsidR="008A677D">
        <w:t>services. We also have the responsibility to ensure the safety of correctional staff and inmates and to hold prisons accountable for outcomes. Contracting for performance in prison management empowers our state correctional agencies to select contractors that will adhere to the highest standards in safety and to truly hold them accountable for results.</w:t>
      </w:r>
    </w:p>
    <w:p w:rsidR="008B2FDE" w:rsidRDefault="008A677D" w:rsidP="004C5064">
      <w:r>
        <w:t xml:space="preserve">While immigration is a federal issue, state and local governments often bear the consequences of federal immigration policy and enforcement. Currently, thousands of immigrants are detained in local jails, alongside the criminal population, because the federal government lacks adequate detention facilities. Dedicated detention facilities are necessary for the federal government to more effectively manage the population of detainees. Contracting for performance in detention management </w:t>
      </w:r>
      <w:r w:rsidR="004C5064">
        <w:t xml:space="preserve">ensures quality services to detainees, delivers significant cost savings, and ensures high levels of safety and accountability. </w:t>
      </w:r>
    </w:p>
    <w:p w:rsidR="003012DB" w:rsidRDefault="00265078" w:rsidP="007431C1">
      <w:pPr>
        <w:spacing w:line="240" w:lineRule="auto"/>
        <w:rPr>
          <w:rFonts w:ascii="Calibri" w:hAnsi="Calibri"/>
          <w:szCs w:val="21"/>
        </w:rPr>
      </w:pPr>
      <w:r>
        <w:rPr>
          <w:noProof/>
        </w:rPr>
        <mc:AlternateContent>
          <mc:Choice Requires="wps">
            <w:drawing>
              <wp:anchor distT="228600" distB="228600" distL="228600" distR="228600" simplePos="0" relativeHeight="251664384" behindDoc="0" locked="0" layoutInCell="1" allowOverlap="1" wp14:anchorId="1B485026" wp14:editId="40377E59">
                <wp:simplePos x="0" y="0"/>
                <wp:positionH relativeFrom="margin">
                  <wp:posOffset>-635</wp:posOffset>
                </wp:positionH>
                <wp:positionV relativeFrom="margin">
                  <wp:posOffset>4111625</wp:posOffset>
                </wp:positionV>
                <wp:extent cx="5982335" cy="2413000"/>
                <wp:effectExtent l="0" t="0" r="0" b="6350"/>
                <wp:wrapSquare wrapText="bothSides"/>
                <wp:docPr id="45" name="Rectangle 45"/>
                <wp:cNvGraphicFramePr/>
                <a:graphic xmlns:a="http://schemas.openxmlformats.org/drawingml/2006/main">
                  <a:graphicData uri="http://schemas.microsoft.com/office/word/2010/wordprocessingShape">
                    <wps:wsp>
                      <wps:cNvSpPr/>
                      <wps:spPr>
                        <a:xfrm>
                          <a:off x="0" y="0"/>
                          <a:ext cx="5982335" cy="2413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52E1" w:rsidRPr="006B1ACE" w:rsidRDefault="00AF52E1" w:rsidP="00AF52E1">
                            <w:pPr>
                              <w:pStyle w:val="NoSpacing"/>
                              <w:numPr>
                                <w:ilvl w:val="0"/>
                                <w:numId w:val="25"/>
                              </w:numPr>
                              <w:spacing w:after="120"/>
                              <w:rPr>
                                <w:caps/>
                                <w:color w:val="FFFFFF" w:themeColor="background1"/>
                              </w:rPr>
                            </w:pPr>
                            <w:r w:rsidRPr="003733BD">
                              <w:rPr>
                                <w:color w:val="FFFFFF" w:themeColor="background1"/>
                                <w:shd w:val="clear" w:color="auto" w:fill="0070C0"/>
                              </w:rPr>
                              <w:t>Contract prisons provide quality</w:t>
                            </w:r>
                            <w:r>
                              <w:rPr>
                                <w:color w:val="FFFFFF" w:themeColor="background1"/>
                              </w:rPr>
                              <w:t xml:space="preserve"> programs to keep people from returning to prison</w:t>
                            </w:r>
                          </w:p>
                          <w:p w:rsidR="00AF52E1" w:rsidRPr="006B1ACE" w:rsidRDefault="00AF52E1" w:rsidP="00AF52E1">
                            <w:pPr>
                              <w:pStyle w:val="NoSpacing"/>
                              <w:numPr>
                                <w:ilvl w:val="0"/>
                                <w:numId w:val="25"/>
                              </w:numPr>
                              <w:spacing w:after="120"/>
                              <w:rPr>
                                <w:caps/>
                                <w:color w:val="FFFFFF" w:themeColor="background1"/>
                              </w:rPr>
                            </w:pPr>
                            <w:r>
                              <w:rPr>
                                <w:color w:val="FFFFFF" w:themeColor="background1"/>
                              </w:rPr>
                              <w:t>Contract detention facilities provide comprehensive services to detainees not found in local jails</w:t>
                            </w:r>
                          </w:p>
                          <w:p w:rsidR="00AF52E1" w:rsidRPr="006B1ACE" w:rsidRDefault="00AF52E1" w:rsidP="00AF52E1">
                            <w:pPr>
                              <w:pStyle w:val="NoSpacing"/>
                              <w:numPr>
                                <w:ilvl w:val="0"/>
                                <w:numId w:val="25"/>
                              </w:numPr>
                              <w:spacing w:after="120"/>
                              <w:rPr>
                                <w:caps/>
                                <w:color w:val="FFFFFF" w:themeColor="background1"/>
                              </w:rPr>
                            </w:pPr>
                            <w:r>
                              <w:rPr>
                                <w:color w:val="FFFFFF" w:themeColor="background1"/>
                              </w:rPr>
                              <w:t xml:space="preserve">Contract prison management can save states $13-15 million annually </w:t>
                            </w:r>
                          </w:p>
                          <w:p w:rsidR="00AF52E1" w:rsidRPr="006B1ACE" w:rsidRDefault="00AF52E1" w:rsidP="00AF52E1">
                            <w:pPr>
                              <w:pStyle w:val="NoSpacing"/>
                              <w:numPr>
                                <w:ilvl w:val="0"/>
                                <w:numId w:val="25"/>
                              </w:numPr>
                              <w:spacing w:after="120"/>
                              <w:rPr>
                                <w:caps/>
                                <w:color w:val="FFFFFF" w:themeColor="background1"/>
                              </w:rPr>
                            </w:pPr>
                            <w:r>
                              <w:rPr>
                                <w:color w:val="FFFFFF" w:themeColor="background1"/>
                              </w:rPr>
                              <w:t xml:space="preserve">Contract prisons save the Federal Bureau of Prisons </w:t>
                            </w:r>
                            <w:r w:rsidRPr="00774D74">
                              <w:rPr>
                                <w:color w:val="FFFFFF" w:themeColor="background1"/>
                              </w:rPr>
                              <w:t xml:space="preserve">$312 million annually </w:t>
                            </w:r>
                          </w:p>
                          <w:p w:rsidR="00AF52E1" w:rsidRPr="006B1ACE" w:rsidRDefault="00AF52E1" w:rsidP="00AF52E1">
                            <w:pPr>
                              <w:pStyle w:val="NoSpacing"/>
                              <w:numPr>
                                <w:ilvl w:val="0"/>
                                <w:numId w:val="25"/>
                              </w:numPr>
                              <w:spacing w:after="120"/>
                              <w:rPr>
                                <w:caps/>
                                <w:color w:val="FFFFFF" w:themeColor="background1"/>
                              </w:rPr>
                            </w:pPr>
                            <w:r>
                              <w:rPr>
                                <w:color w:val="FFFFFF" w:themeColor="background1"/>
                              </w:rPr>
                              <w:t xml:space="preserve">Contract detention saves Immigration &amp; Customs Enforcement </w:t>
                            </w:r>
                            <w:r w:rsidRPr="00774D74">
                              <w:rPr>
                                <w:color w:val="FFFFFF" w:themeColor="background1"/>
                              </w:rPr>
                              <w:t xml:space="preserve">$402 million annually </w:t>
                            </w:r>
                          </w:p>
                          <w:p w:rsidR="00AF52E1" w:rsidRPr="00774D74" w:rsidRDefault="00AF52E1" w:rsidP="00AF52E1">
                            <w:pPr>
                              <w:pStyle w:val="NoSpacing"/>
                              <w:numPr>
                                <w:ilvl w:val="0"/>
                                <w:numId w:val="25"/>
                              </w:numPr>
                              <w:spacing w:after="120"/>
                              <w:rPr>
                                <w:caps/>
                                <w:color w:val="FFFFFF" w:themeColor="background1"/>
                              </w:rPr>
                            </w:pPr>
                            <w:r>
                              <w:rPr>
                                <w:color w:val="FFFFFF" w:themeColor="background1"/>
                              </w:rPr>
                              <w:t xml:space="preserve">Contracting </w:t>
                            </w:r>
                            <w:r w:rsidRPr="00774D74">
                              <w:rPr>
                                <w:color w:val="FFFFFF" w:themeColor="background1"/>
                              </w:rPr>
                              <w:t>allows government agencies to</w:t>
                            </w:r>
                            <w:r>
                              <w:rPr>
                                <w:color w:val="FFFFFF" w:themeColor="background1"/>
                              </w:rPr>
                              <w:t xml:space="preserve"> hold contractors accountable for delivering high performance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485026" id="Rectangle 45" o:spid="_x0000_s1028" style="position:absolute;margin-left:-.05pt;margin-top:323.75pt;width:471.05pt;height:190pt;z-index:2516643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" fillcolor="#0070c0" stroked="f" strokeweight="1pt">
                <v:textbox inset="18pt,18pt,18pt,18pt">
                  <w:txbxContent>
                    <w:p w:rsidR="00AF52E1" w:rsidRPr="006B1ACE" w:rsidRDefault="00AF52E1" w:rsidP="00AF52E1">
                      <w:pPr>
                        <w:pStyle w:val="NoSpacing"/>
                        <w:numPr>
                          <w:ilvl w:val="0"/>
                          <w:numId w:val="25"/>
                        </w:numPr>
                        <w:spacing w:after="120"/>
                        <w:rPr>
                          <w:caps/>
                          <w:color w:val="FFFFFF" w:themeColor="background1"/>
                        </w:rPr>
                      </w:pPr>
                      <w:r w:rsidRPr="003733BD">
                        <w:rPr>
                          <w:color w:val="FFFFFF" w:themeColor="background1"/>
                          <w:shd w:val="clear" w:color="auto" w:fill="0070C0"/>
                        </w:rPr>
                        <w:t>Contract prisons provide quality</w:t>
                      </w:r>
                      <w:r>
                        <w:rPr>
                          <w:color w:val="FFFFFF" w:themeColor="background1"/>
                        </w:rPr>
                        <w:t xml:space="preserve"> programs to keep people from returning to prison</w:t>
                      </w:r>
                    </w:p>
                    <w:p w:rsidR="00AF52E1" w:rsidRPr="006B1ACE" w:rsidRDefault="00AF52E1" w:rsidP="00AF52E1">
                      <w:pPr>
                        <w:pStyle w:val="NoSpacing"/>
                        <w:numPr>
                          <w:ilvl w:val="0"/>
                          <w:numId w:val="25"/>
                        </w:numPr>
                        <w:spacing w:after="120"/>
                        <w:rPr>
                          <w:caps/>
                          <w:color w:val="FFFFFF" w:themeColor="background1"/>
                        </w:rPr>
                      </w:pPr>
                      <w:r>
                        <w:rPr>
                          <w:color w:val="FFFFFF" w:themeColor="background1"/>
                        </w:rPr>
                        <w:t>Contract detention facilities provide comprehensive services to detainees not found in local jails</w:t>
                      </w:r>
                    </w:p>
                    <w:p w:rsidR="00AF52E1" w:rsidRPr="006B1ACE" w:rsidRDefault="00AF52E1" w:rsidP="00AF52E1">
                      <w:pPr>
                        <w:pStyle w:val="NoSpacing"/>
                        <w:numPr>
                          <w:ilvl w:val="0"/>
                          <w:numId w:val="25"/>
                        </w:numPr>
                        <w:spacing w:after="120"/>
                        <w:rPr>
                          <w:caps/>
                          <w:color w:val="FFFFFF" w:themeColor="background1"/>
                        </w:rPr>
                      </w:pPr>
                      <w:r>
                        <w:rPr>
                          <w:color w:val="FFFFFF" w:themeColor="background1"/>
                        </w:rPr>
                        <w:t xml:space="preserve">Contract prison management can save states $13-15 million annually </w:t>
                      </w:r>
                    </w:p>
                    <w:p w:rsidR="00AF52E1" w:rsidRPr="006B1ACE" w:rsidRDefault="00AF52E1" w:rsidP="00AF52E1">
                      <w:pPr>
                        <w:pStyle w:val="NoSpacing"/>
                        <w:numPr>
                          <w:ilvl w:val="0"/>
                          <w:numId w:val="25"/>
                        </w:numPr>
                        <w:spacing w:after="120"/>
                        <w:rPr>
                          <w:caps/>
                          <w:color w:val="FFFFFF" w:themeColor="background1"/>
                        </w:rPr>
                      </w:pPr>
                      <w:r>
                        <w:rPr>
                          <w:color w:val="FFFFFF" w:themeColor="background1"/>
                        </w:rPr>
                        <w:t xml:space="preserve">Contract prisons save the Federal Bureau of Prisons </w:t>
                      </w:r>
                      <w:r w:rsidRPr="00774D74">
                        <w:rPr>
                          <w:color w:val="FFFFFF" w:themeColor="background1"/>
                        </w:rPr>
                        <w:t xml:space="preserve">$312 million annually </w:t>
                      </w:r>
                    </w:p>
                    <w:p w:rsidR="00AF52E1" w:rsidRPr="006B1ACE" w:rsidRDefault="00AF52E1" w:rsidP="00AF52E1">
                      <w:pPr>
                        <w:pStyle w:val="NoSpacing"/>
                        <w:numPr>
                          <w:ilvl w:val="0"/>
                          <w:numId w:val="25"/>
                        </w:numPr>
                        <w:spacing w:after="120"/>
                        <w:rPr>
                          <w:caps/>
                          <w:color w:val="FFFFFF" w:themeColor="background1"/>
                        </w:rPr>
                      </w:pPr>
                      <w:r>
                        <w:rPr>
                          <w:color w:val="FFFFFF" w:themeColor="background1"/>
                        </w:rPr>
                        <w:t xml:space="preserve">Contract detention saves Immigration &amp; Customs Enforcement </w:t>
                      </w:r>
                      <w:r w:rsidRPr="00774D74">
                        <w:rPr>
                          <w:color w:val="FFFFFF" w:themeColor="background1"/>
                        </w:rPr>
                        <w:t xml:space="preserve">$402 million annually </w:t>
                      </w:r>
                    </w:p>
                    <w:p w:rsidR="00AF52E1" w:rsidRPr="00774D74" w:rsidRDefault="00AF52E1" w:rsidP="00AF52E1">
                      <w:pPr>
                        <w:pStyle w:val="NoSpacing"/>
                        <w:numPr>
                          <w:ilvl w:val="0"/>
                          <w:numId w:val="25"/>
                        </w:numPr>
                        <w:spacing w:after="120"/>
                        <w:rPr>
                          <w:caps/>
                          <w:color w:val="FFFFFF" w:themeColor="background1"/>
                        </w:rPr>
                      </w:pPr>
                      <w:r>
                        <w:rPr>
                          <w:color w:val="FFFFFF" w:themeColor="background1"/>
                        </w:rPr>
                        <w:t xml:space="preserve">Contracting </w:t>
                      </w:r>
                      <w:r w:rsidRPr="00774D74">
                        <w:rPr>
                          <w:color w:val="FFFFFF" w:themeColor="background1"/>
                        </w:rPr>
                        <w:t>allows government agencies to</w:t>
                      </w:r>
                      <w:r>
                        <w:rPr>
                          <w:color w:val="FFFFFF" w:themeColor="background1"/>
                        </w:rPr>
                        <w:t xml:space="preserve"> hold contractors accountable for delivering high performance </w:t>
                      </w:r>
                    </w:p>
                  </w:txbxContent>
                </v:textbox>
                <w10:wrap type="square"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1B1ADBBA" wp14:editId="706C20B2">
                <wp:simplePos x="0" y="0"/>
                <wp:positionH relativeFrom="column">
                  <wp:posOffset>-25400</wp:posOffset>
                </wp:positionH>
                <wp:positionV relativeFrom="paragraph">
                  <wp:posOffset>946785</wp:posOffset>
                </wp:positionV>
                <wp:extent cx="598233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82335" cy="457200"/>
                        </a:xfrm>
                        <a:prstGeom prst="rect">
                          <a:avLst/>
                        </a:prstGeom>
                        <a:solidFill>
                          <a:prstClr val="white"/>
                        </a:solidFill>
                        <a:ln>
                          <a:noFill/>
                        </a:ln>
                      </wps:spPr>
                      <wps:txbx>
                        <w:txbxContent>
                          <w:p w:rsidR="00AF52E1" w:rsidRPr="005C413E" w:rsidRDefault="00AF52E1" w:rsidP="00AF52E1">
                            <w:pPr>
                              <w:pStyle w:val="Caption"/>
                              <w:rPr>
                                <w:i w:val="0"/>
                                <w:noProof/>
                                <w:color w:val="0070C0"/>
                                <w:sz w:val="28"/>
                                <w:szCs w:val="28"/>
                              </w:rPr>
                            </w:pPr>
                            <w:r w:rsidRPr="005C413E">
                              <w:rPr>
                                <w:i w:val="0"/>
                                <w:color w:val="0070C0"/>
                                <w:sz w:val="28"/>
                                <w:szCs w:val="28"/>
                              </w:rPr>
                              <w:t>A Closer Look at Contracting for Performance in Prison and Detention Management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1ADBBA" id="Text Box 1" o:spid="_x0000_s1029" type="#_x0000_t202" style="position:absolute;margin-left:-2pt;margin-top:74.55pt;width:471.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" stroked="f">
                <v:textbox inset="0,0,0,0">
                  <w:txbxContent>
                    <w:p w:rsidR="00AF52E1" w:rsidRPr="005C413E" w:rsidRDefault="00AF52E1" w:rsidP="00AF52E1">
                      <w:pPr>
                        <w:pStyle w:val="Caption"/>
                        <w:rPr>
                          <w:i w:val="0"/>
                          <w:noProof/>
                          <w:color w:val="0070C0"/>
                          <w:sz w:val="28"/>
                          <w:szCs w:val="28"/>
                        </w:rPr>
                      </w:pPr>
                      <w:r w:rsidRPr="005C413E">
                        <w:rPr>
                          <w:i w:val="0"/>
                          <w:color w:val="0070C0"/>
                          <w:sz w:val="28"/>
                          <w:szCs w:val="28"/>
                        </w:rPr>
                        <w:t>A Closer Look at Contracting for Performance in Prison and Detention Management</w:t>
                      </w:r>
                    </w:p>
                  </w:txbxContent>
                </v:textbox>
                <w10:wrap type="square"/>
              </v:shape>
            </w:pict>
          </mc:Fallback>
        </mc:AlternateContent>
      </w:r>
      <w:r w:rsidR="00080BEB">
        <w:t xml:space="preserve">Lawmakers interested in taking a closer look at </w:t>
      </w:r>
      <w:r w:rsidR="00E05D0C">
        <w:t>contracting for performance should</w:t>
      </w:r>
      <w:r w:rsidR="00080BEB">
        <w:t xml:space="preserve"> ask to tour contract facilities in </w:t>
      </w:r>
      <w:r w:rsidR="00132B82">
        <w:t>their</w:t>
      </w:r>
      <w:r w:rsidR="00080BEB">
        <w:t xml:space="preserve"> state or a neighboring state, including federal prisons, sta</w:t>
      </w:r>
      <w:r w:rsidR="000E23ED">
        <w:t>te prisons</w:t>
      </w:r>
      <w:r w:rsidR="00080BEB">
        <w:t xml:space="preserve">, and immigrant detention facilities. Lawmakers should also interview agency heads and personnel who choose to contract in corrections and detention and ask them about the benefits. </w:t>
      </w:r>
      <w:r w:rsidR="00132B82">
        <w:rPr>
          <w:rFonts w:ascii="Calibri" w:hAnsi="Calibri"/>
          <w:szCs w:val="21"/>
        </w:rPr>
        <w:t>It’s time for lawmakers to reject false narratives and give contracting for performance in corrections and detention a</w:t>
      </w:r>
      <w:r w:rsidR="000E23ED">
        <w:rPr>
          <w:rFonts w:ascii="Calibri" w:hAnsi="Calibri"/>
          <w:szCs w:val="21"/>
        </w:rPr>
        <w:t xml:space="preserve"> </w:t>
      </w:r>
      <w:r w:rsidR="00884639">
        <w:rPr>
          <w:rFonts w:ascii="Calibri" w:hAnsi="Calibri"/>
          <w:szCs w:val="21"/>
        </w:rPr>
        <w:t>firsthand look</w:t>
      </w:r>
      <w:r w:rsidR="00132B82">
        <w:rPr>
          <w:rFonts w:ascii="Calibri" w:hAnsi="Calibri"/>
          <w:szCs w:val="21"/>
        </w:rPr>
        <w:t>.</w:t>
      </w:r>
    </w:p>
    <w:p w:rsidR="00715B16" w:rsidRDefault="00715B16" w:rsidP="007431C1">
      <w:pPr>
        <w:spacing w:line="240" w:lineRule="auto"/>
        <w:rPr>
          <w:rFonts w:ascii="Calibri" w:hAnsi="Calibri"/>
          <w:szCs w:val="21"/>
        </w:rPr>
      </w:pPr>
    </w:p>
    <w:p w:rsidR="00D83931" w:rsidRDefault="00D83931">
      <w:pPr>
        <w:rPr>
          <w:rFonts w:asciiTheme="majorHAnsi" w:eastAsiaTheme="majorEastAsia" w:hAnsiTheme="majorHAnsi" w:cstheme="majorBidi"/>
          <w:b/>
          <w:color w:val="0070C0"/>
          <w:sz w:val="28"/>
          <w:szCs w:val="32"/>
        </w:rPr>
      </w:pPr>
      <w:r>
        <w:br w:type="page"/>
      </w:r>
    </w:p>
    <w:p w:rsidR="00A639C5" w:rsidRPr="007431C1" w:rsidRDefault="005C413E" w:rsidP="00A639C5">
      <w:pPr>
        <w:pStyle w:val="Heading1"/>
      </w:pPr>
      <w:r>
        <w:lastRenderedPageBreak/>
        <w:t>References</w:t>
      </w:r>
    </w:p>
    <w:sectPr w:rsidR="00A639C5" w:rsidRPr="007431C1">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57" w:rsidRDefault="00C93B57" w:rsidP="00714FC6">
      <w:pPr>
        <w:spacing w:after="0" w:line="240" w:lineRule="auto"/>
      </w:pPr>
      <w:r>
        <w:separator/>
      </w:r>
    </w:p>
  </w:endnote>
  <w:endnote w:type="continuationSeparator" w:id="0">
    <w:p w:rsidR="00C93B57" w:rsidRDefault="00C93B57" w:rsidP="00714FC6">
      <w:pPr>
        <w:spacing w:after="0" w:line="240" w:lineRule="auto"/>
      </w:pPr>
      <w:r>
        <w:continuationSeparator/>
      </w:r>
    </w:p>
  </w:endnote>
  <w:endnote w:id="1">
    <w:p w:rsidR="0000355D" w:rsidRPr="00CB3EE8" w:rsidRDefault="0000355D">
      <w:pPr>
        <w:pStyle w:val="EndnoteText"/>
        <w:rPr>
          <w:sz w:val="16"/>
          <w:szCs w:val="16"/>
        </w:rPr>
      </w:pPr>
      <w:r w:rsidRPr="00CB3EE8">
        <w:rPr>
          <w:rStyle w:val="EndnoteReference"/>
          <w:sz w:val="16"/>
          <w:szCs w:val="16"/>
        </w:rPr>
        <w:endnoteRef/>
      </w:r>
      <w:r w:rsidRPr="00CB3EE8">
        <w:rPr>
          <w:sz w:val="16"/>
          <w:szCs w:val="16"/>
        </w:rPr>
        <w:t xml:space="preserve"> Federal Bureau of Prisons (2018). </w:t>
      </w:r>
      <w:r w:rsidRPr="00CB3EE8">
        <w:rPr>
          <w:i/>
          <w:sz w:val="16"/>
          <w:szCs w:val="16"/>
        </w:rPr>
        <w:t xml:space="preserve">Prisoners in 2016. Table 17. </w:t>
      </w:r>
      <w:r w:rsidRPr="00CB3EE8">
        <w:rPr>
          <w:sz w:val="16"/>
          <w:szCs w:val="16"/>
        </w:rPr>
        <w:t xml:space="preserve">Retrieved from </w:t>
      </w:r>
      <w:hyperlink r:id="rId1" w:history="1">
        <w:r w:rsidRPr="001D7E12">
          <w:rPr>
            <w:rStyle w:val="Hyperlink"/>
            <w:sz w:val="16"/>
            <w:szCs w:val="16"/>
          </w:rPr>
          <w:t>https://www.bjs.gov/index.cfm?ty=pbdetail&amp;iid=6187</w:t>
        </w:r>
      </w:hyperlink>
    </w:p>
  </w:endnote>
  <w:endnote w:id="2">
    <w:p w:rsidR="0000355D" w:rsidRPr="00CB3EE8" w:rsidRDefault="0000355D">
      <w:pPr>
        <w:pStyle w:val="EndnoteText"/>
        <w:rPr>
          <w:sz w:val="16"/>
          <w:szCs w:val="16"/>
        </w:rPr>
      </w:pPr>
      <w:r w:rsidRPr="00CB3EE8">
        <w:rPr>
          <w:rStyle w:val="EndnoteReference"/>
          <w:sz w:val="16"/>
          <w:szCs w:val="16"/>
        </w:rPr>
        <w:endnoteRef/>
      </w:r>
      <w:r w:rsidRPr="00CB3EE8">
        <w:rPr>
          <w:sz w:val="16"/>
          <w:szCs w:val="16"/>
        </w:rPr>
        <w:t xml:space="preserve"> Federal Bureau of Prisons (2018). </w:t>
      </w:r>
      <w:r w:rsidRPr="00CB3EE8">
        <w:rPr>
          <w:i/>
          <w:sz w:val="16"/>
          <w:szCs w:val="16"/>
        </w:rPr>
        <w:t xml:space="preserve">Prisoners in 2016. Table 17. </w:t>
      </w:r>
      <w:r w:rsidRPr="00CB3EE8">
        <w:rPr>
          <w:sz w:val="16"/>
          <w:szCs w:val="16"/>
        </w:rPr>
        <w:t xml:space="preserve">Retrieved from </w:t>
      </w:r>
      <w:hyperlink r:id="rId2" w:history="1">
        <w:r w:rsidRPr="001D7E12">
          <w:rPr>
            <w:rStyle w:val="Hyperlink"/>
            <w:sz w:val="16"/>
            <w:szCs w:val="16"/>
          </w:rPr>
          <w:t>https://www.bjs.gov/index.cfm?ty=pbdetail&amp;iid=6187</w:t>
        </w:r>
      </w:hyperlink>
    </w:p>
  </w:endnote>
  <w:endnote w:id="3">
    <w:p w:rsidR="0000355D" w:rsidRPr="00CB3EE8" w:rsidRDefault="0000355D" w:rsidP="00A426B3">
      <w:pPr>
        <w:pStyle w:val="EndnoteText"/>
        <w:rPr>
          <w:sz w:val="16"/>
          <w:szCs w:val="16"/>
        </w:rPr>
      </w:pPr>
      <w:r w:rsidRPr="00CB3EE8">
        <w:rPr>
          <w:rStyle w:val="EndnoteReference"/>
          <w:sz w:val="16"/>
          <w:szCs w:val="16"/>
        </w:rPr>
        <w:endnoteRef/>
      </w:r>
      <w:r w:rsidRPr="00CB3EE8">
        <w:rPr>
          <w:sz w:val="16"/>
          <w:szCs w:val="16"/>
        </w:rPr>
        <w:t xml:space="preserve"> National Research Council. (2014). </w:t>
      </w:r>
      <w:r w:rsidRPr="00CB3EE8">
        <w:rPr>
          <w:i/>
          <w:sz w:val="16"/>
          <w:szCs w:val="16"/>
        </w:rPr>
        <w:t xml:space="preserve">The Growth of Incarceration in the United States: Exploring Causes and Consequences. </w:t>
      </w:r>
      <w:r w:rsidRPr="00CB3EE8">
        <w:rPr>
          <w:sz w:val="16"/>
          <w:szCs w:val="16"/>
        </w:rPr>
        <w:t>Committee on Causes and Consequences of High Rates of Incarceration.</w:t>
      </w:r>
      <w:r w:rsidRPr="00CB3EE8">
        <w:rPr>
          <w:i/>
          <w:sz w:val="16"/>
          <w:szCs w:val="16"/>
        </w:rPr>
        <w:t xml:space="preserve"> </w:t>
      </w:r>
      <w:r w:rsidRPr="00CB3EE8">
        <w:rPr>
          <w:sz w:val="16"/>
          <w:szCs w:val="16"/>
        </w:rPr>
        <w:t>(p. 101) J. Travis, B. Western, and S. Redburn, Editors. Committee on Law and Justice, Division of Behavioral and Social Sciences and Education. Washington, DC: The National Academies Press.</w:t>
      </w:r>
      <w:r>
        <w:rPr>
          <w:sz w:val="16"/>
          <w:szCs w:val="16"/>
        </w:rPr>
        <w:t xml:space="preserve"> Retrieved from </w:t>
      </w:r>
      <w:hyperlink r:id="rId3" w:history="1">
        <w:r w:rsidRPr="00EE0D0F">
          <w:rPr>
            <w:rStyle w:val="Hyperlink"/>
            <w:sz w:val="16"/>
            <w:szCs w:val="16"/>
          </w:rPr>
          <w:t>https://www.nap.edu/catalog/18613/the-growth-of-incarceration-in-the-united-states-exploring-causes#</w:t>
        </w:r>
      </w:hyperlink>
    </w:p>
  </w:endnote>
  <w:endnote w:id="4">
    <w:p w:rsidR="0000355D" w:rsidRPr="00CB3EE8" w:rsidRDefault="0000355D" w:rsidP="00A426B3">
      <w:pPr>
        <w:pStyle w:val="EndnoteText"/>
        <w:rPr>
          <w:sz w:val="16"/>
          <w:szCs w:val="16"/>
        </w:rPr>
      </w:pPr>
      <w:r w:rsidRPr="00CB3EE8">
        <w:rPr>
          <w:rStyle w:val="EndnoteReference"/>
          <w:sz w:val="16"/>
          <w:szCs w:val="16"/>
        </w:rPr>
        <w:endnoteRef/>
      </w:r>
      <w:r w:rsidRPr="00CB3EE8">
        <w:rPr>
          <w:sz w:val="16"/>
          <w:szCs w:val="16"/>
        </w:rPr>
        <w:t xml:space="preserve"> Pfaff, John F. (2017). </w:t>
      </w:r>
      <w:r w:rsidRPr="00CB3EE8">
        <w:rPr>
          <w:i/>
          <w:sz w:val="16"/>
          <w:szCs w:val="16"/>
        </w:rPr>
        <w:t>Private Prisons, Public Spending.</w:t>
      </w:r>
      <w:r w:rsidRPr="00CB3EE8">
        <w:rPr>
          <w:sz w:val="16"/>
          <w:szCs w:val="16"/>
        </w:rPr>
        <w:t xml:space="preserve"> In Locked In: The True Causes of Mass Incarceration and How to Achieve Real Reform (p. 129). New York: Basic Books.</w:t>
      </w:r>
    </w:p>
  </w:endnote>
  <w:endnote w:id="5">
    <w:p w:rsidR="0000355D" w:rsidRPr="00CB3EE8" w:rsidRDefault="0000355D" w:rsidP="00F30335">
      <w:pPr>
        <w:pStyle w:val="EndnoteText"/>
        <w:rPr>
          <w:sz w:val="16"/>
          <w:szCs w:val="16"/>
        </w:rPr>
      </w:pPr>
      <w:r w:rsidRPr="00CB3EE8">
        <w:rPr>
          <w:rStyle w:val="EndnoteReference"/>
          <w:sz w:val="16"/>
          <w:szCs w:val="16"/>
        </w:rPr>
        <w:endnoteRef/>
      </w:r>
      <w:r w:rsidRPr="00CB3EE8">
        <w:rPr>
          <w:sz w:val="16"/>
          <w:szCs w:val="16"/>
        </w:rPr>
        <w:t xml:space="preserve"> Department of Homeland Security Advisory Council (December 2016). </w:t>
      </w:r>
      <w:r w:rsidRPr="00127B48">
        <w:rPr>
          <w:i/>
          <w:sz w:val="16"/>
          <w:szCs w:val="16"/>
        </w:rPr>
        <w:t>Report of the Subcommittee on Privatized Immigration Detention Facilities</w:t>
      </w:r>
      <w:r>
        <w:rPr>
          <w:sz w:val="16"/>
          <w:szCs w:val="16"/>
        </w:rPr>
        <w:t>. (p. 6). R</w:t>
      </w:r>
      <w:r w:rsidRPr="00CB3EE8">
        <w:rPr>
          <w:sz w:val="16"/>
          <w:szCs w:val="16"/>
        </w:rPr>
        <w:t xml:space="preserve">etrieved from: </w:t>
      </w:r>
      <w:hyperlink r:id="rId4" w:history="1">
        <w:r w:rsidRPr="00CB3EE8">
          <w:rPr>
            <w:rStyle w:val="Hyperlink"/>
            <w:sz w:val="16"/>
            <w:szCs w:val="16"/>
          </w:rPr>
          <w:t>https://www.dhs.gov/sites/default/files/publications/DHS%20HSAC%20PIDF%20Final%20Report.pdf</w:t>
        </w:r>
      </w:hyperlink>
    </w:p>
  </w:endnote>
  <w:endnote w:id="6">
    <w:p w:rsidR="0000355D" w:rsidRPr="00CB3EE8" w:rsidRDefault="0000355D" w:rsidP="00F30335">
      <w:pPr>
        <w:pStyle w:val="EndnoteText"/>
        <w:rPr>
          <w:sz w:val="16"/>
          <w:szCs w:val="16"/>
        </w:rPr>
      </w:pPr>
      <w:r w:rsidRPr="00CB3EE8">
        <w:rPr>
          <w:rStyle w:val="EndnoteReference"/>
          <w:sz w:val="16"/>
          <w:szCs w:val="16"/>
        </w:rPr>
        <w:endnoteRef/>
      </w:r>
      <w:r w:rsidRPr="00CB3EE8">
        <w:rPr>
          <w:sz w:val="16"/>
          <w:szCs w:val="16"/>
        </w:rPr>
        <w:t xml:space="preserve"> Department of Homeland Security Advisory Council (December 2016). Report of the Subcommittee on Privatized I</w:t>
      </w:r>
      <w:r>
        <w:rPr>
          <w:sz w:val="16"/>
          <w:szCs w:val="16"/>
        </w:rPr>
        <w:t>mmigration Detention Facilities. (p. 9). R</w:t>
      </w:r>
      <w:r w:rsidRPr="00CB3EE8">
        <w:rPr>
          <w:sz w:val="16"/>
          <w:szCs w:val="16"/>
        </w:rPr>
        <w:t xml:space="preserve">etrieved from: </w:t>
      </w:r>
      <w:hyperlink r:id="rId5" w:history="1">
        <w:r w:rsidRPr="00CB3EE8">
          <w:rPr>
            <w:rStyle w:val="Hyperlink"/>
            <w:sz w:val="16"/>
            <w:szCs w:val="16"/>
          </w:rPr>
          <w:t>https://www.dhs.gov/sites/default/files/publications/DHS%20HSAC%20PIDF%20Final%20Report.pdf</w:t>
        </w:r>
      </w:hyperlink>
    </w:p>
  </w:endnote>
  <w:endnote w:id="7">
    <w:p w:rsidR="0000355D" w:rsidRPr="00CB3EE8" w:rsidRDefault="0000355D">
      <w:pPr>
        <w:pStyle w:val="EndnoteText"/>
        <w:rPr>
          <w:sz w:val="16"/>
          <w:szCs w:val="16"/>
        </w:rPr>
      </w:pPr>
      <w:r w:rsidRPr="00CB3EE8">
        <w:rPr>
          <w:rStyle w:val="EndnoteReference"/>
          <w:sz w:val="16"/>
          <w:szCs w:val="16"/>
        </w:rPr>
        <w:endnoteRef/>
      </w:r>
      <w:r w:rsidRPr="00CB3EE8">
        <w:rPr>
          <w:sz w:val="16"/>
          <w:szCs w:val="16"/>
        </w:rPr>
        <w:t xml:space="preserve"> Reyes, J. R. (n.d.). </w:t>
      </w:r>
      <w:r w:rsidRPr="004F7F2F">
        <w:rPr>
          <w:i/>
          <w:sz w:val="16"/>
          <w:szCs w:val="16"/>
        </w:rPr>
        <w:t>Immigration Detention: Recent Trends and Scholarship</w:t>
      </w:r>
      <w:r w:rsidRPr="00CB3EE8">
        <w:rPr>
          <w:sz w:val="16"/>
          <w:szCs w:val="16"/>
        </w:rPr>
        <w:t>.</w:t>
      </w:r>
      <w:r>
        <w:rPr>
          <w:sz w:val="16"/>
          <w:szCs w:val="16"/>
        </w:rPr>
        <w:t xml:space="preserve"> </w:t>
      </w:r>
      <w:r>
        <w:rPr>
          <w:i/>
          <w:sz w:val="16"/>
          <w:szCs w:val="16"/>
        </w:rPr>
        <w:t>Table 2. Average Daily Population of Immigrant Detainees, FY 1994-2018.</w:t>
      </w:r>
      <w:r w:rsidRPr="00CB3EE8">
        <w:rPr>
          <w:sz w:val="16"/>
          <w:szCs w:val="16"/>
        </w:rPr>
        <w:t xml:space="preserve"> </w:t>
      </w:r>
      <w:r>
        <w:rPr>
          <w:sz w:val="16"/>
          <w:szCs w:val="16"/>
        </w:rPr>
        <w:t xml:space="preserve">Center for Migration Studies. </w:t>
      </w:r>
      <w:r w:rsidRPr="00CB3EE8">
        <w:rPr>
          <w:sz w:val="16"/>
          <w:szCs w:val="16"/>
        </w:rPr>
        <w:t xml:space="preserve">Retrieved from </w:t>
      </w:r>
      <w:hyperlink r:id="rId6" w:history="1">
        <w:r w:rsidRPr="00EE0D0F">
          <w:rPr>
            <w:rStyle w:val="Hyperlink"/>
            <w:sz w:val="16"/>
            <w:szCs w:val="16"/>
          </w:rPr>
          <w:t>https://cmsny.org/publications/virtualbrief-detention/</w:t>
        </w:r>
      </w:hyperlink>
    </w:p>
  </w:endnote>
  <w:endnote w:id="8">
    <w:p w:rsidR="0000355D" w:rsidRPr="00CB3EE8" w:rsidRDefault="0000355D" w:rsidP="002854F7">
      <w:pPr>
        <w:pStyle w:val="EndnoteText"/>
        <w:rPr>
          <w:sz w:val="16"/>
          <w:szCs w:val="16"/>
        </w:rPr>
      </w:pPr>
      <w:r w:rsidRPr="00CB3EE8">
        <w:rPr>
          <w:rStyle w:val="EndnoteReference"/>
          <w:sz w:val="16"/>
          <w:szCs w:val="16"/>
        </w:rPr>
        <w:endnoteRef/>
      </w:r>
      <w:r w:rsidRPr="00CB3EE8">
        <w:rPr>
          <w:sz w:val="16"/>
          <w:szCs w:val="16"/>
        </w:rPr>
        <w:t xml:space="preserve"> U.S. Department of Homeland Security, U.S. Immigration and Customs Enforcement, </w:t>
      </w:r>
      <w:r w:rsidRPr="00CB3EE8">
        <w:rPr>
          <w:i/>
          <w:sz w:val="16"/>
          <w:szCs w:val="16"/>
        </w:rPr>
        <w:t xml:space="preserve">FY 2020 Congressional Budget Justification. </w:t>
      </w:r>
      <w:r>
        <w:rPr>
          <w:sz w:val="16"/>
          <w:szCs w:val="16"/>
        </w:rPr>
        <w:t xml:space="preserve">(p. 6). </w:t>
      </w:r>
      <w:r w:rsidRPr="00CB3EE8">
        <w:rPr>
          <w:sz w:val="16"/>
          <w:szCs w:val="16"/>
        </w:rPr>
        <w:t xml:space="preserve">Retrieved from </w:t>
      </w:r>
      <w:hyperlink r:id="rId7" w:history="1">
        <w:r w:rsidRPr="00CB3EE8">
          <w:rPr>
            <w:rStyle w:val="Hyperlink"/>
            <w:sz w:val="16"/>
            <w:szCs w:val="16"/>
          </w:rPr>
          <w:t>https://www.dhs.gov/sites/default/files/publications/19_0318_MGMT_CBJ-Immigration-Customs-Enforcement_0.pdf</w:t>
        </w:r>
      </w:hyperlink>
    </w:p>
  </w:endnote>
  <w:endnote w:id="9">
    <w:p w:rsidR="0000355D" w:rsidRPr="00CB3EE8" w:rsidRDefault="0000355D" w:rsidP="009F3B7D">
      <w:pPr>
        <w:pStyle w:val="EndnoteText"/>
        <w:rPr>
          <w:sz w:val="16"/>
          <w:szCs w:val="16"/>
        </w:rPr>
      </w:pPr>
      <w:r w:rsidRPr="00CB3EE8">
        <w:rPr>
          <w:rStyle w:val="EndnoteReference"/>
          <w:sz w:val="16"/>
          <w:szCs w:val="16"/>
        </w:rPr>
        <w:endnoteRef/>
      </w:r>
      <w:r w:rsidRPr="00CB3EE8">
        <w:rPr>
          <w:sz w:val="16"/>
          <w:szCs w:val="16"/>
        </w:rPr>
        <w:t xml:space="preserve"> Management &amp; Training Corporation. (August 20, 2018). </w:t>
      </w:r>
      <w:r w:rsidRPr="00CB3EE8">
        <w:rPr>
          <w:i/>
          <w:sz w:val="16"/>
          <w:szCs w:val="16"/>
        </w:rPr>
        <w:t xml:space="preserve">New Mexico Corrections Secretary Wants to “Duplicate” MTC’s Otero Facility. </w:t>
      </w:r>
      <w:r w:rsidRPr="00CB3EE8">
        <w:rPr>
          <w:sz w:val="16"/>
          <w:szCs w:val="16"/>
        </w:rPr>
        <w:t xml:space="preserve">Retrieved from </w:t>
      </w:r>
      <w:hyperlink r:id="rId8" w:history="1">
        <w:r w:rsidRPr="00CB3EE8">
          <w:rPr>
            <w:rStyle w:val="Hyperlink"/>
            <w:sz w:val="16"/>
            <w:szCs w:val="16"/>
          </w:rPr>
          <w:t>https://www.mtctrains.com/new-mexico-corrections-secretary-wants-to-duplicate-mtcs-otero-facility/</w:t>
        </w:r>
      </w:hyperlink>
    </w:p>
  </w:endnote>
  <w:endnote w:id="10">
    <w:p w:rsidR="0000355D" w:rsidRPr="00CB3EE8" w:rsidRDefault="0000355D" w:rsidP="009F3B7D">
      <w:pPr>
        <w:spacing w:after="0"/>
        <w:rPr>
          <w:sz w:val="16"/>
          <w:szCs w:val="16"/>
        </w:rPr>
      </w:pPr>
      <w:r w:rsidRPr="00CB3EE8">
        <w:rPr>
          <w:sz w:val="16"/>
          <w:szCs w:val="16"/>
          <w:vertAlign w:val="superscript"/>
        </w:rPr>
        <w:endnoteRef/>
      </w:r>
      <w:r w:rsidRPr="00CB3EE8">
        <w:rPr>
          <w:sz w:val="16"/>
          <w:szCs w:val="16"/>
          <w:vertAlign w:val="superscript"/>
        </w:rPr>
        <w:t xml:space="preserve"> </w:t>
      </w:r>
      <w:r>
        <w:rPr>
          <w:sz w:val="16"/>
          <w:szCs w:val="16"/>
        </w:rPr>
        <w:t>TRAC Immigration. (October 9, 2019).</w:t>
      </w:r>
      <w:r w:rsidRPr="00CF7381">
        <w:rPr>
          <w:i/>
          <w:sz w:val="16"/>
          <w:szCs w:val="16"/>
        </w:rPr>
        <w:t xml:space="preserve"> Profiling Who ICE Detains - Few Committed Any Crime</w:t>
      </w:r>
      <w:r>
        <w:rPr>
          <w:sz w:val="16"/>
          <w:szCs w:val="16"/>
        </w:rPr>
        <w:t xml:space="preserve">. </w:t>
      </w:r>
      <w:r w:rsidRPr="00CF7381">
        <w:rPr>
          <w:sz w:val="16"/>
          <w:szCs w:val="16"/>
        </w:rPr>
        <w:t>Syracuse University</w:t>
      </w:r>
      <w:r>
        <w:rPr>
          <w:sz w:val="16"/>
          <w:szCs w:val="16"/>
        </w:rPr>
        <w:t xml:space="preserve">. Retrieved from </w:t>
      </w:r>
      <w:hyperlink r:id="rId9" w:history="1">
        <w:r w:rsidRPr="00CB3EE8">
          <w:rPr>
            <w:rStyle w:val="Hyperlink"/>
            <w:sz w:val="16"/>
            <w:szCs w:val="16"/>
          </w:rPr>
          <w:t>https://trac.syr.edu/immigration/reports/530/</w:t>
        </w:r>
      </w:hyperlink>
      <w:r>
        <w:rPr>
          <w:sz w:val="16"/>
          <w:szCs w:val="16"/>
        </w:rPr>
        <w:t xml:space="preserve"> </w:t>
      </w:r>
    </w:p>
  </w:endnote>
  <w:endnote w:id="11">
    <w:p w:rsidR="0000355D" w:rsidRPr="00CB3EE8" w:rsidRDefault="0000355D" w:rsidP="004A3868">
      <w:pPr>
        <w:pStyle w:val="EndnoteText"/>
        <w:rPr>
          <w:sz w:val="16"/>
          <w:szCs w:val="16"/>
        </w:rPr>
      </w:pPr>
      <w:r w:rsidRPr="00CB3EE8">
        <w:rPr>
          <w:rStyle w:val="EndnoteReference"/>
          <w:sz w:val="16"/>
          <w:szCs w:val="16"/>
        </w:rPr>
        <w:endnoteRef/>
      </w:r>
      <w:r w:rsidRPr="00CB3EE8">
        <w:rPr>
          <w:sz w:val="16"/>
          <w:szCs w:val="16"/>
        </w:rPr>
        <w:t xml:space="preserve"> Th</w:t>
      </w:r>
      <w:r>
        <w:rPr>
          <w:sz w:val="16"/>
          <w:szCs w:val="16"/>
        </w:rPr>
        <w:t>e Sentencing Project. (June 2018</w:t>
      </w:r>
      <w:r w:rsidRPr="00CB3EE8">
        <w:rPr>
          <w:sz w:val="16"/>
          <w:szCs w:val="16"/>
        </w:rPr>
        <w:t xml:space="preserve">). </w:t>
      </w:r>
      <w:r w:rsidRPr="00CB3EE8">
        <w:rPr>
          <w:i/>
          <w:sz w:val="16"/>
          <w:szCs w:val="16"/>
        </w:rPr>
        <w:t xml:space="preserve">Trends in U.S. Corrections. </w:t>
      </w:r>
      <w:r w:rsidRPr="00CB3EE8">
        <w:rPr>
          <w:sz w:val="16"/>
          <w:szCs w:val="16"/>
        </w:rPr>
        <w:t>State expenditures on co</w:t>
      </w:r>
      <w:r>
        <w:rPr>
          <w:sz w:val="16"/>
          <w:szCs w:val="16"/>
        </w:rPr>
        <w:t>rrections in billions, 1985-2016</w:t>
      </w:r>
      <w:r w:rsidRPr="00CB3EE8">
        <w:rPr>
          <w:sz w:val="16"/>
          <w:szCs w:val="16"/>
        </w:rPr>
        <w:t xml:space="preserve"> (p.2).</w:t>
      </w:r>
      <w:r w:rsidRPr="00CB3EE8">
        <w:rPr>
          <w:i/>
          <w:sz w:val="16"/>
          <w:szCs w:val="16"/>
        </w:rPr>
        <w:t xml:space="preserve"> </w:t>
      </w:r>
      <w:r w:rsidRPr="00CB3EE8">
        <w:rPr>
          <w:sz w:val="16"/>
          <w:szCs w:val="16"/>
        </w:rPr>
        <w:t xml:space="preserve">Retrieved from </w:t>
      </w:r>
      <w:hyperlink r:id="rId10" w:history="1">
        <w:r w:rsidRPr="00CB3EE8">
          <w:rPr>
            <w:rStyle w:val="Hyperlink"/>
            <w:sz w:val="16"/>
            <w:szCs w:val="16"/>
          </w:rPr>
          <w:t>http://www.sentencingproject.org/wp-content/uploads/2016/01/Trends-in-US-Corrections.pdf</w:t>
        </w:r>
      </w:hyperlink>
    </w:p>
  </w:endnote>
  <w:endnote w:id="12">
    <w:p w:rsidR="0000355D" w:rsidRPr="00CB3EE8" w:rsidRDefault="0000355D">
      <w:pPr>
        <w:pStyle w:val="EndnoteText"/>
        <w:rPr>
          <w:sz w:val="16"/>
          <w:szCs w:val="16"/>
        </w:rPr>
      </w:pPr>
      <w:r w:rsidRPr="00CB3EE8">
        <w:rPr>
          <w:rStyle w:val="EndnoteReference"/>
          <w:sz w:val="16"/>
          <w:szCs w:val="16"/>
        </w:rPr>
        <w:endnoteRef/>
      </w:r>
      <w:r w:rsidRPr="00CB3EE8">
        <w:rPr>
          <w:sz w:val="16"/>
          <w:szCs w:val="16"/>
        </w:rPr>
        <w:t xml:space="preserve"> J. F. Blumstein, M. A. Cohen, S. Seth (2007). </w:t>
      </w:r>
      <w:r w:rsidRPr="0096658A">
        <w:rPr>
          <w:i/>
          <w:sz w:val="16"/>
          <w:szCs w:val="16"/>
        </w:rPr>
        <w:t>Do Government Agencies Respond to Market Pressures? Evidence from Private Prisons.</w:t>
      </w:r>
      <w:r w:rsidRPr="00CB3EE8">
        <w:rPr>
          <w:sz w:val="16"/>
          <w:szCs w:val="16"/>
        </w:rPr>
        <w:t xml:space="preserve"> Vanderbilt Law and Economics Research Paper No. 03-16; Vanderbilt Public Law Research Paper No. 03- 05, December 2007.</w:t>
      </w:r>
    </w:p>
  </w:endnote>
  <w:endnote w:id="13">
    <w:p w:rsidR="0000355D" w:rsidRPr="00CB3EE8" w:rsidRDefault="0000355D">
      <w:pPr>
        <w:pStyle w:val="EndnoteText"/>
        <w:rPr>
          <w:sz w:val="16"/>
          <w:szCs w:val="16"/>
        </w:rPr>
      </w:pPr>
      <w:r w:rsidRPr="00CB3EE8">
        <w:rPr>
          <w:rStyle w:val="EndnoteReference"/>
          <w:sz w:val="16"/>
          <w:szCs w:val="16"/>
        </w:rPr>
        <w:endnoteRef/>
      </w:r>
      <w:r w:rsidRPr="00CB3EE8">
        <w:rPr>
          <w:sz w:val="16"/>
          <w:szCs w:val="16"/>
        </w:rPr>
        <w:t xml:space="preserve"> Federal Prison System, Per Capita Costs, FY 2017</w:t>
      </w:r>
      <w:r>
        <w:rPr>
          <w:sz w:val="16"/>
          <w:szCs w:val="16"/>
        </w:rPr>
        <w:t xml:space="preserve">. Retrieved from </w:t>
      </w:r>
      <w:hyperlink r:id="rId11" w:history="1">
        <w:r w:rsidRPr="00F50D3A">
          <w:rPr>
            <w:rStyle w:val="Hyperlink"/>
            <w:sz w:val="16"/>
            <w:szCs w:val="16"/>
          </w:rPr>
          <w:t>https://www.bop.gov/foia/docs/fy2017_per_capita_costs.pdf</w:t>
        </w:r>
      </w:hyperlink>
      <w:r w:rsidRPr="00CB3EE8">
        <w:rPr>
          <w:sz w:val="16"/>
          <w:szCs w:val="16"/>
        </w:rPr>
        <w:t xml:space="preserve"> </w:t>
      </w:r>
    </w:p>
  </w:endnote>
  <w:endnote w:id="14">
    <w:p w:rsidR="0000355D" w:rsidRPr="00CB3EE8" w:rsidRDefault="0000355D">
      <w:pPr>
        <w:pStyle w:val="EndnoteText"/>
        <w:rPr>
          <w:sz w:val="16"/>
          <w:szCs w:val="16"/>
        </w:rPr>
      </w:pPr>
      <w:r w:rsidRPr="00CB3EE8">
        <w:rPr>
          <w:rStyle w:val="EndnoteReference"/>
          <w:sz w:val="16"/>
          <w:szCs w:val="16"/>
        </w:rPr>
        <w:endnoteRef/>
      </w:r>
      <w:r w:rsidRPr="00CB3EE8">
        <w:rPr>
          <w:sz w:val="16"/>
          <w:szCs w:val="16"/>
        </w:rPr>
        <w:t xml:space="preserve"> Department of Homeland Security Advisory Council (December 2016). Report of the Subcommittee on Privatized I</w:t>
      </w:r>
      <w:r>
        <w:rPr>
          <w:sz w:val="16"/>
          <w:szCs w:val="16"/>
        </w:rPr>
        <w:t>mmigration Detention Facilities. (p. 9). R</w:t>
      </w:r>
      <w:r w:rsidRPr="00CB3EE8">
        <w:rPr>
          <w:sz w:val="16"/>
          <w:szCs w:val="16"/>
        </w:rPr>
        <w:t xml:space="preserve">etrieved from: </w:t>
      </w:r>
      <w:hyperlink r:id="rId12" w:history="1">
        <w:r w:rsidRPr="00CB3EE8">
          <w:rPr>
            <w:rStyle w:val="Hyperlink"/>
            <w:sz w:val="16"/>
            <w:szCs w:val="16"/>
          </w:rPr>
          <w:t>https://www.dhs.gov/sites/default/files/publications/DHS%20HSAC%20PIDF%20Final%20Report.pdf</w:t>
        </w:r>
      </w:hyperlink>
    </w:p>
  </w:endnote>
  <w:endnote w:id="15">
    <w:p w:rsidR="0000355D" w:rsidRPr="00F50D3A" w:rsidRDefault="0000355D">
      <w:pPr>
        <w:pStyle w:val="EndnoteText"/>
        <w:rPr>
          <w:sz w:val="16"/>
          <w:szCs w:val="16"/>
        </w:rPr>
      </w:pPr>
      <w:r w:rsidRPr="00F50D3A">
        <w:rPr>
          <w:rStyle w:val="EndnoteReference"/>
          <w:sz w:val="16"/>
          <w:szCs w:val="16"/>
        </w:rPr>
        <w:endnoteRef/>
      </w:r>
      <w:r w:rsidRPr="00F50D3A">
        <w:rPr>
          <w:sz w:val="16"/>
          <w:szCs w:val="16"/>
        </w:rPr>
        <w:t xml:space="preserve"> Lundahl, B. et. al. (2007). </w:t>
      </w:r>
      <w:r w:rsidRPr="00F50D3A">
        <w:rPr>
          <w:i/>
          <w:sz w:val="16"/>
          <w:szCs w:val="16"/>
        </w:rPr>
        <w:t>Prison Privatization: A Meta-Analysis of Cost Effectiveness and Quality of Confinement Indicators.</w:t>
      </w:r>
      <w:r w:rsidRPr="00F50D3A">
        <w:rPr>
          <w:sz w:val="16"/>
          <w:szCs w:val="16"/>
        </w:rPr>
        <w:t xml:space="preserve"> Utah Criminal Justice Center, College of Social Work, University of Utah. Retrieved from </w:t>
      </w:r>
      <w:hyperlink r:id="rId13" w:history="1">
        <w:r w:rsidRPr="00F50D3A">
          <w:rPr>
            <w:rStyle w:val="Hyperlink"/>
            <w:sz w:val="16"/>
            <w:szCs w:val="16"/>
          </w:rPr>
          <w:t>https://socialwork.utah.edu/_documents/861.pdf</w:t>
        </w:r>
      </w:hyperlink>
    </w:p>
  </w:endnote>
  <w:endnote w:id="16">
    <w:p w:rsidR="0000355D" w:rsidRPr="00CB3EE8" w:rsidRDefault="0000355D" w:rsidP="00467EA7">
      <w:pPr>
        <w:pStyle w:val="EndnoteText"/>
        <w:rPr>
          <w:sz w:val="16"/>
          <w:szCs w:val="16"/>
        </w:rPr>
      </w:pPr>
      <w:r w:rsidRPr="00CB3EE8">
        <w:rPr>
          <w:rStyle w:val="EndnoteReference"/>
          <w:sz w:val="16"/>
          <w:szCs w:val="16"/>
        </w:rPr>
        <w:endnoteRef/>
      </w:r>
      <w:r w:rsidRPr="00CB3EE8">
        <w:rPr>
          <w:sz w:val="16"/>
          <w:szCs w:val="16"/>
        </w:rPr>
        <w:t xml:space="preserve"> Department of Justice, Office of Inspector General. (2016). </w:t>
      </w:r>
      <w:r w:rsidRPr="00800CC4">
        <w:rPr>
          <w:i/>
          <w:sz w:val="16"/>
          <w:szCs w:val="16"/>
        </w:rPr>
        <w:t>Review of the Federal Bureau of Prisons’ Monitoring of Contract Prisons.</w:t>
      </w:r>
      <w:r w:rsidRPr="00CB3EE8">
        <w:rPr>
          <w:sz w:val="16"/>
          <w:szCs w:val="16"/>
        </w:rPr>
        <w:t xml:space="preserve"> </w:t>
      </w:r>
      <w:r>
        <w:rPr>
          <w:sz w:val="16"/>
          <w:szCs w:val="16"/>
        </w:rPr>
        <w:t xml:space="preserve">(P. </w:t>
      </w:r>
      <w:r w:rsidRPr="00CB3EE8">
        <w:rPr>
          <w:sz w:val="16"/>
          <w:szCs w:val="16"/>
        </w:rPr>
        <w:t>68</w:t>
      </w:r>
      <w:r>
        <w:rPr>
          <w:sz w:val="16"/>
          <w:szCs w:val="16"/>
        </w:rPr>
        <w:t xml:space="preserve">). Retrieved from </w:t>
      </w:r>
      <w:hyperlink r:id="rId14" w:history="1">
        <w:r w:rsidRPr="00800CC4">
          <w:rPr>
            <w:rStyle w:val="Hyperlink"/>
            <w:sz w:val="16"/>
            <w:szCs w:val="16"/>
          </w:rPr>
          <w:t>https://oig.justice.gov/reports/2016/e1606.pdf</w:t>
        </w:r>
      </w:hyperlink>
    </w:p>
  </w:endnote>
  <w:endnote w:id="17">
    <w:p w:rsidR="0000355D" w:rsidRPr="00CB3EE8" w:rsidRDefault="0000355D" w:rsidP="002053BF">
      <w:pPr>
        <w:pStyle w:val="EndnoteText"/>
        <w:rPr>
          <w:sz w:val="16"/>
          <w:szCs w:val="16"/>
        </w:rPr>
      </w:pPr>
      <w:r w:rsidRPr="00CB3EE8">
        <w:rPr>
          <w:rStyle w:val="EndnoteReference"/>
          <w:sz w:val="16"/>
          <w:szCs w:val="16"/>
        </w:rPr>
        <w:endnoteRef/>
      </w:r>
      <w:r w:rsidRPr="00CB3EE8">
        <w:rPr>
          <w:sz w:val="16"/>
          <w:szCs w:val="16"/>
        </w:rPr>
        <w:t xml:space="preserve"> Department of Justice, Office of the Deputy Attorney General. (August 18, 2016). </w:t>
      </w:r>
      <w:r w:rsidRPr="00CB3EE8">
        <w:rPr>
          <w:i/>
          <w:sz w:val="16"/>
          <w:szCs w:val="16"/>
        </w:rPr>
        <w:t xml:space="preserve">Memorandum for the Acting Director of the Federal Bureau of Prisons. Reducing our Use of Private Prisons. </w:t>
      </w:r>
      <w:r w:rsidRPr="00CB3EE8">
        <w:rPr>
          <w:sz w:val="16"/>
          <w:szCs w:val="16"/>
        </w:rPr>
        <w:t xml:space="preserve">Retrieved from </w:t>
      </w:r>
      <w:hyperlink r:id="rId15" w:history="1">
        <w:r w:rsidRPr="00CB3EE8">
          <w:rPr>
            <w:rStyle w:val="Hyperlink"/>
            <w:sz w:val="16"/>
            <w:szCs w:val="16"/>
          </w:rPr>
          <w:t>https://www.justice.gov/archives/opa/file/886311/download</w:t>
        </w:r>
      </w:hyperlink>
    </w:p>
  </w:endnote>
  <w:endnote w:id="18">
    <w:p w:rsidR="0000355D" w:rsidRPr="00CB3EE8" w:rsidRDefault="0000355D">
      <w:pPr>
        <w:pStyle w:val="EndnoteText"/>
        <w:rPr>
          <w:sz w:val="16"/>
          <w:szCs w:val="16"/>
        </w:rPr>
      </w:pPr>
      <w:r w:rsidRPr="00CB3EE8">
        <w:rPr>
          <w:rStyle w:val="EndnoteReference"/>
          <w:sz w:val="16"/>
          <w:szCs w:val="16"/>
        </w:rPr>
        <w:endnoteRef/>
      </w:r>
      <w:r w:rsidRPr="00CB3EE8">
        <w:rPr>
          <w:sz w:val="16"/>
          <w:szCs w:val="16"/>
        </w:rPr>
        <w:t xml:space="preserve"> Volokh, A. (2002). </w:t>
      </w:r>
      <w:r w:rsidRPr="00CB3EE8">
        <w:rPr>
          <w:i/>
          <w:sz w:val="16"/>
          <w:szCs w:val="16"/>
        </w:rPr>
        <w:t>A Tale of Two Systems: Cost, Quality, and Accountability in Private Prisons.</w:t>
      </w:r>
      <w:r w:rsidRPr="00CB3EE8">
        <w:rPr>
          <w:sz w:val="16"/>
          <w:szCs w:val="16"/>
        </w:rPr>
        <w:t xml:space="preserve"> 115 HARV. L. REV 1838, 1868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19905"/>
      <w:docPartObj>
        <w:docPartGallery w:val="Page Numbers (Bottom of Page)"/>
        <w:docPartUnique/>
      </w:docPartObj>
    </w:sdtPr>
    <w:sdtEndPr>
      <w:rPr>
        <w:noProof/>
      </w:rPr>
    </w:sdtEndPr>
    <w:sdtContent>
      <w:p w:rsidR="0000355D" w:rsidRDefault="0000355D">
        <w:pPr>
          <w:pStyle w:val="Footer"/>
          <w:jc w:val="right"/>
        </w:pPr>
        <w:r>
          <w:fldChar w:fldCharType="begin"/>
        </w:r>
        <w:r>
          <w:instrText xml:space="preserve"> PAGE   \* MERGEFORMAT </w:instrText>
        </w:r>
        <w:r>
          <w:fldChar w:fldCharType="separate"/>
        </w:r>
        <w:r w:rsidR="008571A0">
          <w:rPr>
            <w:noProof/>
          </w:rPr>
          <w:t>1</w:t>
        </w:r>
        <w:r>
          <w:rPr>
            <w:noProof/>
          </w:rPr>
          <w:fldChar w:fldCharType="end"/>
        </w:r>
      </w:p>
    </w:sdtContent>
  </w:sdt>
  <w:p w:rsidR="0000355D" w:rsidRDefault="0000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57" w:rsidRDefault="00C93B57" w:rsidP="00714FC6">
      <w:pPr>
        <w:spacing w:after="0" w:line="240" w:lineRule="auto"/>
      </w:pPr>
      <w:r>
        <w:separator/>
      </w:r>
    </w:p>
  </w:footnote>
  <w:footnote w:type="continuationSeparator" w:id="0">
    <w:p w:rsidR="00C93B57" w:rsidRDefault="00C93B57" w:rsidP="00714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D85"/>
    <w:multiLevelType w:val="hybridMultilevel"/>
    <w:tmpl w:val="397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31A"/>
    <w:multiLevelType w:val="hybridMultilevel"/>
    <w:tmpl w:val="1DAC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2EF4"/>
    <w:multiLevelType w:val="hybridMultilevel"/>
    <w:tmpl w:val="217E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60D8D"/>
    <w:multiLevelType w:val="hybridMultilevel"/>
    <w:tmpl w:val="05D297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5C96288"/>
    <w:multiLevelType w:val="hybridMultilevel"/>
    <w:tmpl w:val="7FEE4DEC"/>
    <w:lvl w:ilvl="0" w:tplc="3402AD8E">
      <w:start w:val="1"/>
      <w:numFmt w:val="bullet"/>
      <w:lvlText w:val=""/>
      <w:lvlJc w:val="left"/>
      <w:pPr>
        <w:ind w:left="720" w:hanging="360"/>
      </w:pPr>
      <w:rPr>
        <w:rFonts w:ascii="Symbol" w:hAnsi="Symbol" w:hint="default"/>
        <w:color w:val="242F8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335AC"/>
    <w:multiLevelType w:val="hybridMultilevel"/>
    <w:tmpl w:val="1D746B74"/>
    <w:lvl w:ilvl="0" w:tplc="98662B2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253FB"/>
    <w:multiLevelType w:val="hybridMultilevel"/>
    <w:tmpl w:val="FA402A8C"/>
    <w:lvl w:ilvl="0" w:tplc="A7B41B56">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F2AB8"/>
    <w:multiLevelType w:val="hybridMultilevel"/>
    <w:tmpl w:val="45D691E2"/>
    <w:lvl w:ilvl="0" w:tplc="12DE10F2">
      <w:start w:val="1"/>
      <w:numFmt w:val="bullet"/>
      <w:lvlText w:val=""/>
      <w:lvlJc w:val="left"/>
      <w:pPr>
        <w:ind w:left="360" w:hanging="360"/>
      </w:pPr>
      <w:rPr>
        <w:rFonts w:ascii="Symbol" w:hAnsi="Symbol" w:hint="default"/>
        <w:color w:val="0070C0"/>
        <w:u w:color="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900C69"/>
    <w:multiLevelType w:val="hybridMultilevel"/>
    <w:tmpl w:val="F56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470AD"/>
    <w:multiLevelType w:val="hybridMultilevel"/>
    <w:tmpl w:val="DED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2541D"/>
    <w:multiLevelType w:val="hybridMultilevel"/>
    <w:tmpl w:val="30882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D0F34"/>
    <w:multiLevelType w:val="hybridMultilevel"/>
    <w:tmpl w:val="ABC0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81CF0"/>
    <w:multiLevelType w:val="hybridMultilevel"/>
    <w:tmpl w:val="BE5E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B05F9"/>
    <w:multiLevelType w:val="hybridMultilevel"/>
    <w:tmpl w:val="1ADE1B4E"/>
    <w:lvl w:ilvl="0" w:tplc="EF7CF29A">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E3747"/>
    <w:multiLevelType w:val="hybridMultilevel"/>
    <w:tmpl w:val="A4C2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05EF4"/>
    <w:multiLevelType w:val="hybridMultilevel"/>
    <w:tmpl w:val="E58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67118"/>
    <w:multiLevelType w:val="hybridMultilevel"/>
    <w:tmpl w:val="EA48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475C0"/>
    <w:multiLevelType w:val="hybridMultilevel"/>
    <w:tmpl w:val="2824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14785"/>
    <w:multiLevelType w:val="hybridMultilevel"/>
    <w:tmpl w:val="53AC5CCC"/>
    <w:lvl w:ilvl="0" w:tplc="545E2A72">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11424"/>
    <w:multiLevelType w:val="hybridMultilevel"/>
    <w:tmpl w:val="A8EC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358B6"/>
    <w:multiLevelType w:val="hybridMultilevel"/>
    <w:tmpl w:val="269EF6AC"/>
    <w:lvl w:ilvl="0" w:tplc="C472C416">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220A9"/>
    <w:multiLevelType w:val="hybridMultilevel"/>
    <w:tmpl w:val="D0FC0E94"/>
    <w:lvl w:ilvl="0" w:tplc="04090001">
      <w:start w:val="1"/>
      <w:numFmt w:val="bullet"/>
      <w:lvlText w:val=""/>
      <w:lvlJc w:val="left"/>
      <w:pPr>
        <w:ind w:left="720" w:hanging="360"/>
      </w:pPr>
      <w:rPr>
        <w:rFonts w:ascii="Symbol" w:hAnsi="Symbol" w:hint="default"/>
      </w:rPr>
    </w:lvl>
    <w:lvl w:ilvl="1" w:tplc="12DE10F2">
      <w:start w:val="1"/>
      <w:numFmt w:val="bullet"/>
      <w:lvlText w:val=""/>
      <w:lvlJc w:val="left"/>
      <w:pPr>
        <w:ind w:left="1440" w:hanging="360"/>
      </w:pPr>
      <w:rPr>
        <w:rFonts w:ascii="Symbol" w:hAnsi="Symbol" w:hint="default"/>
        <w:color w:val="0070C0"/>
        <w:u w:color="0070C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87CE8"/>
    <w:multiLevelType w:val="hybridMultilevel"/>
    <w:tmpl w:val="725C9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81D85"/>
    <w:multiLevelType w:val="hybridMultilevel"/>
    <w:tmpl w:val="82EE4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274934"/>
    <w:multiLevelType w:val="hybridMultilevel"/>
    <w:tmpl w:val="0F04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22"/>
  </w:num>
  <w:num w:numId="5">
    <w:abstractNumId w:val="1"/>
  </w:num>
  <w:num w:numId="6">
    <w:abstractNumId w:val="14"/>
  </w:num>
  <w:num w:numId="7">
    <w:abstractNumId w:val="20"/>
  </w:num>
  <w:num w:numId="8">
    <w:abstractNumId w:val="13"/>
  </w:num>
  <w:num w:numId="9">
    <w:abstractNumId w:val="15"/>
  </w:num>
  <w:num w:numId="10">
    <w:abstractNumId w:val="2"/>
  </w:num>
  <w:num w:numId="11">
    <w:abstractNumId w:val="18"/>
  </w:num>
  <w:num w:numId="12">
    <w:abstractNumId w:val="11"/>
  </w:num>
  <w:num w:numId="13">
    <w:abstractNumId w:val="9"/>
  </w:num>
  <w:num w:numId="14">
    <w:abstractNumId w:val="5"/>
  </w:num>
  <w:num w:numId="15">
    <w:abstractNumId w:val="3"/>
  </w:num>
  <w:num w:numId="16">
    <w:abstractNumId w:val="23"/>
  </w:num>
  <w:num w:numId="17">
    <w:abstractNumId w:val="16"/>
  </w:num>
  <w:num w:numId="18">
    <w:abstractNumId w:val="0"/>
  </w:num>
  <w:num w:numId="19">
    <w:abstractNumId w:val="19"/>
  </w:num>
  <w:num w:numId="20">
    <w:abstractNumId w:val="24"/>
  </w:num>
  <w:num w:numId="21">
    <w:abstractNumId w:val="8"/>
  </w:num>
  <w:num w:numId="22">
    <w:abstractNumId w:val="10"/>
  </w:num>
  <w:num w:numId="23">
    <w:abstractNumId w:val="7"/>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3A"/>
    <w:rsid w:val="0000055A"/>
    <w:rsid w:val="0000355D"/>
    <w:rsid w:val="00004C6A"/>
    <w:rsid w:val="0000722D"/>
    <w:rsid w:val="000115FF"/>
    <w:rsid w:val="00012F57"/>
    <w:rsid w:val="000254D6"/>
    <w:rsid w:val="00025AA3"/>
    <w:rsid w:val="00026969"/>
    <w:rsid w:val="000308F8"/>
    <w:rsid w:val="000311DA"/>
    <w:rsid w:val="0003404F"/>
    <w:rsid w:val="0003740A"/>
    <w:rsid w:val="00040649"/>
    <w:rsid w:val="00043F12"/>
    <w:rsid w:val="00045EFA"/>
    <w:rsid w:val="0004679F"/>
    <w:rsid w:val="00047A26"/>
    <w:rsid w:val="00050748"/>
    <w:rsid w:val="00055816"/>
    <w:rsid w:val="0006366E"/>
    <w:rsid w:val="000719AA"/>
    <w:rsid w:val="00071B22"/>
    <w:rsid w:val="00077228"/>
    <w:rsid w:val="00080BEB"/>
    <w:rsid w:val="0008144B"/>
    <w:rsid w:val="00083707"/>
    <w:rsid w:val="00086698"/>
    <w:rsid w:val="00086816"/>
    <w:rsid w:val="000A61AF"/>
    <w:rsid w:val="000A635C"/>
    <w:rsid w:val="000B08B0"/>
    <w:rsid w:val="000B59B4"/>
    <w:rsid w:val="000C0C7C"/>
    <w:rsid w:val="000D2DAB"/>
    <w:rsid w:val="000E23ED"/>
    <w:rsid w:val="000E3577"/>
    <w:rsid w:val="000E410E"/>
    <w:rsid w:val="000F24ED"/>
    <w:rsid w:val="000F2525"/>
    <w:rsid w:val="00105790"/>
    <w:rsid w:val="00107742"/>
    <w:rsid w:val="00107756"/>
    <w:rsid w:val="0011092F"/>
    <w:rsid w:val="00112384"/>
    <w:rsid w:val="00120136"/>
    <w:rsid w:val="0012097C"/>
    <w:rsid w:val="00127B48"/>
    <w:rsid w:val="00132B82"/>
    <w:rsid w:val="00135B21"/>
    <w:rsid w:val="001361B5"/>
    <w:rsid w:val="001362AF"/>
    <w:rsid w:val="0015247C"/>
    <w:rsid w:val="00155B0C"/>
    <w:rsid w:val="001574B0"/>
    <w:rsid w:val="00165809"/>
    <w:rsid w:val="0017495E"/>
    <w:rsid w:val="00175F55"/>
    <w:rsid w:val="00177CEC"/>
    <w:rsid w:val="00180B2D"/>
    <w:rsid w:val="00181BA4"/>
    <w:rsid w:val="00184F3D"/>
    <w:rsid w:val="001855BB"/>
    <w:rsid w:val="00191A3F"/>
    <w:rsid w:val="00191AD0"/>
    <w:rsid w:val="0019592C"/>
    <w:rsid w:val="001A1DB9"/>
    <w:rsid w:val="001A2649"/>
    <w:rsid w:val="001A3A35"/>
    <w:rsid w:val="001A60F4"/>
    <w:rsid w:val="001B5CF7"/>
    <w:rsid w:val="001B7038"/>
    <w:rsid w:val="001B7BBF"/>
    <w:rsid w:val="001B7D1E"/>
    <w:rsid w:val="001D4E9D"/>
    <w:rsid w:val="001D7E12"/>
    <w:rsid w:val="001E1786"/>
    <w:rsid w:val="001F13D3"/>
    <w:rsid w:val="001F1517"/>
    <w:rsid w:val="001F2889"/>
    <w:rsid w:val="001F2C38"/>
    <w:rsid w:val="001F635F"/>
    <w:rsid w:val="002053BF"/>
    <w:rsid w:val="00205E81"/>
    <w:rsid w:val="00205F03"/>
    <w:rsid w:val="00215AD7"/>
    <w:rsid w:val="00231ED0"/>
    <w:rsid w:val="00232F39"/>
    <w:rsid w:val="00234286"/>
    <w:rsid w:val="00240448"/>
    <w:rsid w:val="002516E0"/>
    <w:rsid w:val="002574D1"/>
    <w:rsid w:val="00262EFB"/>
    <w:rsid w:val="00263862"/>
    <w:rsid w:val="0026423E"/>
    <w:rsid w:val="00265078"/>
    <w:rsid w:val="00270F77"/>
    <w:rsid w:val="0027582E"/>
    <w:rsid w:val="002854F7"/>
    <w:rsid w:val="002954F7"/>
    <w:rsid w:val="002A7A1C"/>
    <w:rsid w:val="002B58EE"/>
    <w:rsid w:val="002C35D9"/>
    <w:rsid w:val="002C580E"/>
    <w:rsid w:val="002C6DE4"/>
    <w:rsid w:val="002D1148"/>
    <w:rsid w:val="002D37C9"/>
    <w:rsid w:val="002D4FD2"/>
    <w:rsid w:val="002D5620"/>
    <w:rsid w:val="002D7AF8"/>
    <w:rsid w:val="002E0E5A"/>
    <w:rsid w:val="002E4AB4"/>
    <w:rsid w:val="002F1E35"/>
    <w:rsid w:val="002F40CA"/>
    <w:rsid w:val="002F5E50"/>
    <w:rsid w:val="003012DB"/>
    <w:rsid w:val="00311678"/>
    <w:rsid w:val="003131D7"/>
    <w:rsid w:val="003223E1"/>
    <w:rsid w:val="00332BB2"/>
    <w:rsid w:val="00336E85"/>
    <w:rsid w:val="00340633"/>
    <w:rsid w:val="00363326"/>
    <w:rsid w:val="003733BD"/>
    <w:rsid w:val="00380136"/>
    <w:rsid w:val="00386E9C"/>
    <w:rsid w:val="00392BC4"/>
    <w:rsid w:val="003966AC"/>
    <w:rsid w:val="00397920"/>
    <w:rsid w:val="003A6B6F"/>
    <w:rsid w:val="003A793A"/>
    <w:rsid w:val="003B483A"/>
    <w:rsid w:val="003B4C93"/>
    <w:rsid w:val="003B76C2"/>
    <w:rsid w:val="003B7F2A"/>
    <w:rsid w:val="003C10BD"/>
    <w:rsid w:val="003C2524"/>
    <w:rsid w:val="003C667A"/>
    <w:rsid w:val="003C7669"/>
    <w:rsid w:val="003D1F84"/>
    <w:rsid w:val="003D29EE"/>
    <w:rsid w:val="003D35C9"/>
    <w:rsid w:val="003E0392"/>
    <w:rsid w:val="003E052B"/>
    <w:rsid w:val="003E7223"/>
    <w:rsid w:val="003E77E0"/>
    <w:rsid w:val="003F492D"/>
    <w:rsid w:val="003F6476"/>
    <w:rsid w:val="00402832"/>
    <w:rsid w:val="004029F5"/>
    <w:rsid w:val="004129EF"/>
    <w:rsid w:val="004130B5"/>
    <w:rsid w:val="004144E9"/>
    <w:rsid w:val="004205D3"/>
    <w:rsid w:val="00423490"/>
    <w:rsid w:val="004317F4"/>
    <w:rsid w:val="00432E24"/>
    <w:rsid w:val="00433D16"/>
    <w:rsid w:val="0044075B"/>
    <w:rsid w:val="004407FA"/>
    <w:rsid w:val="00443AC9"/>
    <w:rsid w:val="00446214"/>
    <w:rsid w:val="004552EE"/>
    <w:rsid w:val="004578A3"/>
    <w:rsid w:val="00466800"/>
    <w:rsid w:val="00467EA7"/>
    <w:rsid w:val="0047065E"/>
    <w:rsid w:val="00473A9C"/>
    <w:rsid w:val="00474D5A"/>
    <w:rsid w:val="004773BD"/>
    <w:rsid w:val="00477466"/>
    <w:rsid w:val="0048044B"/>
    <w:rsid w:val="0048589C"/>
    <w:rsid w:val="00487743"/>
    <w:rsid w:val="00487C61"/>
    <w:rsid w:val="00491A09"/>
    <w:rsid w:val="00491E1D"/>
    <w:rsid w:val="00494705"/>
    <w:rsid w:val="0049784F"/>
    <w:rsid w:val="004A1793"/>
    <w:rsid w:val="004A283E"/>
    <w:rsid w:val="004A3868"/>
    <w:rsid w:val="004A7C37"/>
    <w:rsid w:val="004B271E"/>
    <w:rsid w:val="004B76F1"/>
    <w:rsid w:val="004C1FB9"/>
    <w:rsid w:val="004C5064"/>
    <w:rsid w:val="004D39E8"/>
    <w:rsid w:val="004D6882"/>
    <w:rsid w:val="004E291D"/>
    <w:rsid w:val="004E3431"/>
    <w:rsid w:val="004E70A9"/>
    <w:rsid w:val="004F7DC5"/>
    <w:rsid w:val="004F7F2F"/>
    <w:rsid w:val="00503EBE"/>
    <w:rsid w:val="00505B21"/>
    <w:rsid w:val="00510D82"/>
    <w:rsid w:val="00511177"/>
    <w:rsid w:val="0051196E"/>
    <w:rsid w:val="0051259F"/>
    <w:rsid w:val="00516358"/>
    <w:rsid w:val="00520FCB"/>
    <w:rsid w:val="00521000"/>
    <w:rsid w:val="00523884"/>
    <w:rsid w:val="00524212"/>
    <w:rsid w:val="00532C04"/>
    <w:rsid w:val="00533051"/>
    <w:rsid w:val="0055102F"/>
    <w:rsid w:val="00554920"/>
    <w:rsid w:val="005632EE"/>
    <w:rsid w:val="00584A8C"/>
    <w:rsid w:val="00586373"/>
    <w:rsid w:val="00586982"/>
    <w:rsid w:val="00591378"/>
    <w:rsid w:val="005944AF"/>
    <w:rsid w:val="005961BC"/>
    <w:rsid w:val="0059660A"/>
    <w:rsid w:val="005A2685"/>
    <w:rsid w:val="005B31A4"/>
    <w:rsid w:val="005C1A04"/>
    <w:rsid w:val="005C413E"/>
    <w:rsid w:val="005D6FE1"/>
    <w:rsid w:val="005E2F38"/>
    <w:rsid w:val="005F4CF9"/>
    <w:rsid w:val="005F6F70"/>
    <w:rsid w:val="00600DEC"/>
    <w:rsid w:val="006028E7"/>
    <w:rsid w:val="00611F2C"/>
    <w:rsid w:val="00613FB1"/>
    <w:rsid w:val="00630C5A"/>
    <w:rsid w:val="00633FCA"/>
    <w:rsid w:val="00635546"/>
    <w:rsid w:val="00635FA3"/>
    <w:rsid w:val="00636B58"/>
    <w:rsid w:val="00637DD5"/>
    <w:rsid w:val="00640646"/>
    <w:rsid w:val="00640B6A"/>
    <w:rsid w:val="00642579"/>
    <w:rsid w:val="00644914"/>
    <w:rsid w:val="00652E36"/>
    <w:rsid w:val="00656494"/>
    <w:rsid w:val="00661170"/>
    <w:rsid w:val="00667181"/>
    <w:rsid w:val="0067070F"/>
    <w:rsid w:val="00675CD1"/>
    <w:rsid w:val="00683D30"/>
    <w:rsid w:val="00686049"/>
    <w:rsid w:val="00690D3A"/>
    <w:rsid w:val="0069181D"/>
    <w:rsid w:val="00693535"/>
    <w:rsid w:val="00693A63"/>
    <w:rsid w:val="006971FC"/>
    <w:rsid w:val="006A2066"/>
    <w:rsid w:val="006A337E"/>
    <w:rsid w:val="006B12F3"/>
    <w:rsid w:val="006B22E9"/>
    <w:rsid w:val="006B2CC2"/>
    <w:rsid w:val="006C0C79"/>
    <w:rsid w:val="006C3BAF"/>
    <w:rsid w:val="006C7518"/>
    <w:rsid w:val="006C7FC1"/>
    <w:rsid w:val="006D41B5"/>
    <w:rsid w:val="006D5161"/>
    <w:rsid w:val="006E0079"/>
    <w:rsid w:val="006E34C0"/>
    <w:rsid w:val="006F5025"/>
    <w:rsid w:val="00702065"/>
    <w:rsid w:val="0070708C"/>
    <w:rsid w:val="00714FC6"/>
    <w:rsid w:val="00715B16"/>
    <w:rsid w:val="007300AD"/>
    <w:rsid w:val="007356CE"/>
    <w:rsid w:val="007431C1"/>
    <w:rsid w:val="00751A06"/>
    <w:rsid w:val="00751DE2"/>
    <w:rsid w:val="00753B3B"/>
    <w:rsid w:val="0075497F"/>
    <w:rsid w:val="0075745F"/>
    <w:rsid w:val="00757CF3"/>
    <w:rsid w:val="00760517"/>
    <w:rsid w:val="007605CC"/>
    <w:rsid w:val="00760C28"/>
    <w:rsid w:val="00763806"/>
    <w:rsid w:val="0076568A"/>
    <w:rsid w:val="00766471"/>
    <w:rsid w:val="00766A76"/>
    <w:rsid w:val="00774D74"/>
    <w:rsid w:val="007760B1"/>
    <w:rsid w:val="00784A43"/>
    <w:rsid w:val="00792363"/>
    <w:rsid w:val="00792D3C"/>
    <w:rsid w:val="0079338F"/>
    <w:rsid w:val="00796D85"/>
    <w:rsid w:val="007A7174"/>
    <w:rsid w:val="007B482C"/>
    <w:rsid w:val="007B4A3A"/>
    <w:rsid w:val="007C189E"/>
    <w:rsid w:val="007C7BA1"/>
    <w:rsid w:val="007D1F1F"/>
    <w:rsid w:val="007D4DBE"/>
    <w:rsid w:val="007D5634"/>
    <w:rsid w:val="007D7DEE"/>
    <w:rsid w:val="007E09E8"/>
    <w:rsid w:val="007F0A65"/>
    <w:rsid w:val="007F2E44"/>
    <w:rsid w:val="007F3702"/>
    <w:rsid w:val="007F4325"/>
    <w:rsid w:val="00800CC4"/>
    <w:rsid w:val="008061C8"/>
    <w:rsid w:val="0081500D"/>
    <w:rsid w:val="008225E4"/>
    <w:rsid w:val="00823146"/>
    <w:rsid w:val="008347F4"/>
    <w:rsid w:val="00834DD3"/>
    <w:rsid w:val="00844743"/>
    <w:rsid w:val="00844949"/>
    <w:rsid w:val="008466E9"/>
    <w:rsid w:val="008531A3"/>
    <w:rsid w:val="00853B13"/>
    <w:rsid w:val="008563FB"/>
    <w:rsid w:val="008571A0"/>
    <w:rsid w:val="0085751E"/>
    <w:rsid w:val="00857DF0"/>
    <w:rsid w:val="008629FC"/>
    <w:rsid w:val="00863018"/>
    <w:rsid w:val="00866E83"/>
    <w:rsid w:val="00870D21"/>
    <w:rsid w:val="00874E7E"/>
    <w:rsid w:val="008824DC"/>
    <w:rsid w:val="00884479"/>
    <w:rsid w:val="00884639"/>
    <w:rsid w:val="00884BC2"/>
    <w:rsid w:val="00887544"/>
    <w:rsid w:val="008904FE"/>
    <w:rsid w:val="008920B1"/>
    <w:rsid w:val="008A1267"/>
    <w:rsid w:val="008A2CF4"/>
    <w:rsid w:val="008A43ED"/>
    <w:rsid w:val="008A5A52"/>
    <w:rsid w:val="008A5C92"/>
    <w:rsid w:val="008A677D"/>
    <w:rsid w:val="008A6C8A"/>
    <w:rsid w:val="008B2FDE"/>
    <w:rsid w:val="008B56E4"/>
    <w:rsid w:val="008C3166"/>
    <w:rsid w:val="008C63C2"/>
    <w:rsid w:val="008D3E33"/>
    <w:rsid w:val="008D458B"/>
    <w:rsid w:val="008D7523"/>
    <w:rsid w:val="008E2727"/>
    <w:rsid w:val="008E4BCF"/>
    <w:rsid w:val="008F0C76"/>
    <w:rsid w:val="008F30E4"/>
    <w:rsid w:val="008F42EB"/>
    <w:rsid w:val="00901E62"/>
    <w:rsid w:val="00911B1E"/>
    <w:rsid w:val="0091269A"/>
    <w:rsid w:val="0091405A"/>
    <w:rsid w:val="00917FF5"/>
    <w:rsid w:val="00930043"/>
    <w:rsid w:val="0093136A"/>
    <w:rsid w:val="00935082"/>
    <w:rsid w:val="00950AD3"/>
    <w:rsid w:val="00955402"/>
    <w:rsid w:val="00955E35"/>
    <w:rsid w:val="009618AE"/>
    <w:rsid w:val="00966245"/>
    <w:rsid w:val="0096658A"/>
    <w:rsid w:val="00967585"/>
    <w:rsid w:val="0097387D"/>
    <w:rsid w:val="009755A9"/>
    <w:rsid w:val="00975E5F"/>
    <w:rsid w:val="009801E3"/>
    <w:rsid w:val="00991BED"/>
    <w:rsid w:val="00996D1A"/>
    <w:rsid w:val="009A459D"/>
    <w:rsid w:val="009A54E6"/>
    <w:rsid w:val="009A75F5"/>
    <w:rsid w:val="009B27D5"/>
    <w:rsid w:val="009B683F"/>
    <w:rsid w:val="009C22A3"/>
    <w:rsid w:val="009C2881"/>
    <w:rsid w:val="009C4DAF"/>
    <w:rsid w:val="009D1A28"/>
    <w:rsid w:val="009D23D9"/>
    <w:rsid w:val="009D5418"/>
    <w:rsid w:val="009E35D5"/>
    <w:rsid w:val="009E4B04"/>
    <w:rsid w:val="009F1043"/>
    <w:rsid w:val="009F2478"/>
    <w:rsid w:val="009F3B7D"/>
    <w:rsid w:val="009F5513"/>
    <w:rsid w:val="00A04CCE"/>
    <w:rsid w:val="00A07A75"/>
    <w:rsid w:val="00A1076A"/>
    <w:rsid w:val="00A11065"/>
    <w:rsid w:val="00A15C88"/>
    <w:rsid w:val="00A20540"/>
    <w:rsid w:val="00A24319"/>
    <w:rsid w:val="00A261F1"/>
    <w:rsid w:val="00A34902"/>
    <w:rsid w:val="00A41BEA"/>
    <w:rsid w:val="00A426B3"/>
    <w:rsid w:val="00A43712"/>
    <w:rsid w:val="00A4661C"/>
    <w:rsid w:val="00A4673B"/>
    <w:rsid w:val="00A5487F"/>
    <w:rsid w:val="00A5579C"/>
    <w:rsid w:val="00A62754"/>
    <w:rsid w:val="00A639C5"/>
    <w:rsid w:val="00A63B04"/>
    <w:rsid w:val="00A66F9F"/>
    <w:rsid w:val="00A71E54"/>
    <w:rsid w:val="00A74036"/>
    <w:rsid w:val="00A818FC"/>
    <w:rsid w:val="00A84850"/>
    <w:rsid w:val="00AA4ED9"/>
    <w:rsid w:val="00AB7E50"/>
    <w:rsid w:val="00AC5820"/>
    <w:rsid w:val="00AD6A9A"/>
    <w:rsid w:val="00AE5763"/>
    <w:rsid w:val="00AE5E16"/>
    <w:rsid w:val="00AF3ECC"/>
    <w:rsid w:val="00AF52E1"/>
    <w:rsid w:val="00AF6464"/>
    <w:rsid w:val="00AF6920"/>
    <w:rsid w:val="00AF7A91"/>
    <w:rsid w:val="00B01707"/>
    <w:rsid w:val="00B01FC5"/>
    <w:rsid w:val="00B037F8"/>
    <w:rsid w:val="00B04BC3"/>
    <w:rsid w:val="00B149C3"/>
    <w:rsid w:val="00B27984"/>
    <w:rsid w:val="00B324C6"/>
    <w:rsid w:val="00B35865"/>
    <w:rsid w:val="00B3595E"/>
    <w:rsid w:val="00B3762E"/>
    <w:rsid w:val="00B47341"/>
    <w:rsid w:val="00B50A1F"/>
    <w:rsid w:val="00B511AE"/>
    <w:rsid w:val="00B51983"/>
    <w:rsid w:val="00B55543"/>
    <w:rsid w:val="00B63B5A"/>
    <w:rsid w:val="00B71B56"/>
    <w:rsid w:val="00B7251F"/>
    <w:rsid w:val="00B73D13"/>
    <w:rsid w:val="00B77D46"/>
    <w:rsid w:val="00B80593"/>
    <w:rsid w:val="00B809B2"/>
    <w:rsid w:val="00B84D38"/>
    <w:rsid w:val="00B87242"/>
    <w:rsid w:val="00B9602D"/>
    <w:rsid w:val="00B967EA"/>
    <w:rsid w:val="00B97191"/>
    <w:rsid w:val="00BA0D76"/>
    <w:rsid w:val="00BA121A"/>
    <w:rsid w:val="00BA1509"/>
    <w:rsid w:val="00BA29BC"/>
    <w:rsid w:val="00BA57F6"/>
    <w:rsid w:val="00BA6A17"/>
    <w:rsid w:val="00BB303A"/>
    <w:rsid w:val="00BB40C5"/>
    <w:rsid w:val="00BB53BD"/>
    <w:rsid w:val="00BC7772"/>
    <w:rsid w:val="00BC77B0"/>
    <w:rsid w:val="00BD325D"/>
    <w:rsid w:val="00BD711E"/>
    <w:rsid w:val="00BD7378"/>
    <w:rsid w:val="00BE1EA2"/>
    <w:rsid w:val="00BE6489"/>
    <w:rsid w:val="00BE6E2B"/>
    <w:rsid w:val="00BF11A9"/>
    <w:rsid w:val="00BF202C"/>
    <w:rsid w:val="00BF3C80"/>
    <w:rsid w:val="00BF45FB"/>
    <w:rsid w:val="00BF61E2"/>
    <w:rsid w:val="00C01139"/>
    <w:rsid w:val="00C14939"/>
    <w:rsid w:val="00C217C0"/>
    <w:rsid w:val="00C33312"/>
    <w:rsid w:val="00C3555F"/>
    <w:rsid w:val="00C36074"/>
    <w:rsid w:val="00C410B9"/>
    <w:rsid w:val="00C45D8F"/>
    <w:rsid w:val="00C466B5"/>
    <w:rsid w:val="00C62403"/>
    <w:rsid w:val="00C63676"/>
    <w:rsid w:val="00C67F7E"/>
    <w:rsid w:val="00C84DBB"/>
    <w:rsid w:val="00C918EE"/>
    <w:rsid w:val="00C921C4"/>
    <w:rsid w:val="00C924B4"/>
    <w:rsid w:val="00C93B57"/>
    <w:rsid w:val="00C944E0"/>
    <w:rsid w:val="00CA462E"/>
    <w:rsid w:val="00CA7054"/>
    <w:rsid w:val="00CA73F5"/>
    <w:rsid w:val="00CA7EAA"/>
    <w:rsid w:val="00CB0330"/>
    <w:rsid w:val="00CB1FE9"/>
    <w:rsid w:val="00CB2F20"/>
    <w:rsid w:val="00CB393B"/>
    <w:rsid w:val="00CB3EE8"/>
    <w:rsid w:val="00CC55AA"/>
    <w:rsid w:val="00CD2022"/>
    <w:rsid w:val="00CD727F"/>
    <w:rsid w:val="00CE1725"/>
    <w:rsid w:val="00CE24BC"/>
    <w:rsid w:val="00CF1271"/>
    <w:rsid w:val="00CF69E9"/>
    <w:rsid w:val="00CF7381"/>
    <w:rsid w:val="00D01591"/>
    <w:rsid w:val="00D022D8"/>
    <w:rsid w:val="00D027EF"/>
    <w:rsid w:val="00D05655"/>
    <w:rsid w:val="00D1616E"/>
    <w:rsid w:val="00D16C68"/>
    <w:rsid w:val="00D23FE4"/>
    <w:rsid w:val="00D2739A"/>
    <w:rsid w:val="00D30C03"/>
    <w:rsid w:val="00D31C7C"/>
    <w:rsid w:val="00D339A9"/>
    <w:rsid w:val="00D428BA"/>
    <w:rsid w:val="00D477F3"/>
    <w:rsid w:val="00D510B8"/>
    <w:rsid w:val="00D56749"/>
    <w:rsid w:val="00D61EC1"/>
    <w:rsid w:val="00D63BED"/>
    <w:rsid w:val="00D76472"/>
    <w:rsid w:val="00D76C9D"/>
    <w:rsid w:val="00D817AA"/>
    <w:rsid w:val="00D83931"/>
    <w:rsid w:val="00D85133"/>
    <w:rsid w:val="00D8643E"/>
    <w:rsid w:val="00D865D0"/>
    <w:rsid w:val="00D900D6"/>
    <w:rsid w:val="00D96390"/>
    <w:rsid w:val="00D976B5"/>
    <w:rsid w:val="00DA312C"/>
    <w:rsid w:val="00DA4C50"/>
    <w:rsid w:val="00DC0627"/>
    <w:rsid w:val="00DC597F"/>
    <w:rsid w:val="00DC72CF"/>
    <w:rsid w:val="00DC7BC1"/>
    <w:rsid w:val="00DD35B1"/>
    <w:rsid w:val="00DD371E"/>
    <w:rsid w:val="00DD524F"/>
    <w:rsid w:val="00DD746C"/>
    <w:rsid w:val="00DE1D47"/>
    <w:rsid w:val="00DE24C5"/>
    <w:rsid w:val="00DE27A8"/>
    <w:rsid w:val="00E042DF"/>
    <w:rsid w:val="00E05D0C"/>
    <w:rsid w:val="00E15C27"/>
    <w:rsid w:val="00E322D8"/>
    <w:rsid w:val="00E34F30"/>
    <w:rsid w:val="00E44AD9"/>
    <w:rsid w:val="00E50C8B"/>
    <w:rsid w:val="00E522AC"/>
    <w:rsid w:val="00E52F28"/>
    <w:rsid w:val="00E5589A"/>
    <w:rsid w:val="00E623E1"/>
    <w:rsid w:val="00E637A9"/>
    <w:rsid w:val="00E64368"/>
    <w:rsid w:val="00E74BD1"/>
    <w:rsid w:val="00E81535"/>
    <w:rsid w:val="00E823AA"/>
    <w:rsid w:val="00E847C8"/>
    <w:rsid w:val="00E9504F"/>
    <w:rsid w:val="00EA082E"/>
    <w:rsid w:val="00EA3A7D"/>
    <w:rsid w:val="00EB3264"/>
    <w:rsid w:val="00EB33C3"/>
    <w:rsid w:val="00EB4D43"/>
    <w:rsid w:val="00EB658D"/>
    <w:rsid w:val="00EB6DC3"/>
    <w:rsid w:val="00EC09EF"/>
    <w:rsid w:val="00EC1351"/>
    <w:rsid w:val="00EC3AAB"/>
    <w:rsid w:val="00EC5937"/>
    <w:rsid w:val="00EC6D38"/>
    <w:rsid w:val="00ED0334"/>
    <w:rsid w:val="00ED06A1"/>
    <w:rsid w:val="00ED65F7"/>
    <w:rsid w:val="00EE0C71"/>
    <w:rsid w:val="00EF0763"/>
    <w:rsid w:val="00EF0DDD"/>
    <w:rsid w:val="00EF1862"/>
    <w:rsid w:val="00F00A82"/>
    <w:rsid w:val="00F010FE"/>
    <w:rsid w:val="00F0663C"/>
    <w:rsid w:val="00F146F6"/>
    <w:rsid w:val="00F17720"/>
    <w:rsid w:val="00F24D2F"/>
    <w:rsid w:val="00F30335"/>
    <w:rsid w:val="00F32F26"/>
    <w:rsid w:val="00F430A9"/>
    <w:rsid w:val="00F44FE0"/>
    <w:rsid w:val="00F50D3A"/>
    <w:rsid w:val="00F55440"/>
    <w:rsid w:val="00F6176B"/>
    <w:rsid w:val="00F6556A"/>
    <w:rsid w:val="00F66D66"/>
    <w:rsid w:val="00F677FD"/>
    <w:rsid w:val="00F92D31"/>
    <w:rsid w:val="00FA1F76"/>
    <w:rsid w:val="00FA2EB1"/>
    <w:rsid w:val="00FA7FF9"/>
    <w:rsid w:val="00FB33F0"/>
    <w:rsid w:val="00FB3BCF"/>
    <w:rsid w:val="00FB5690"/>
    <w:rsid w:val="00FC2824"/>
    <w:rsid w:val="00FC673C"/>
    <w:rsid w:val="00FC68C3"/>
    <w:rsid w:val="00FC7ED7"/>
    <w:rsid w:val="00FD30C0"/>
    <w:rsid w:val="00FD5F8E"/>
    <w:rsid w:val="00FE08D0"/>
    <w:rsid w:val="00FE2141"/>
    <w:rsid w:val="00FF3E30"/>
    <w:rsid w:val="00FF4812"/>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0407"/>
  <w15:chartTrackingRefBased/>
  <w15:docId w15:val="{1954352D-EA54-446C-8406-D1C6F366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9BC"/>
    <w:pPr>
      <w:keepNext/>
      <w:keepLines/>
      <w:spacing w:before="120" w:after="0" w:line="240" w:lineRule="auto"/>
      <w:outlineLvl w:val="0"/>
    </w:pPr>
    <w:rPr>
      <w:rFonts w:asciiTheme="majorHAnsi" w:eastAsiaTheme="majorEastAsia" w:hAnsiTheme="majorHAnsi" w:cstheme="majorBidi"/>
      <w:b/>
      <w:color w:val="0070C0"/>
      <w:sz w:val="28"/>
      <w:szCs w:val="32"/>
    </w:rPr>
  </w:style>
  <w:style w:type="paragraph" w:styleId="Heading2">
    <w:name w:val="heading 2"/>
    <w:basedOn w:val="Normal"/>
    <w:next w:val="Normal"/>
    <w:link w:val="Heading2Char"/>
    <w:uiPriority w:val="9"/>
    <w:unhideWhenUsed/>
    <w:qFormat/>
    <w:rsid w:val="005F6F70"/>
    <w:pPr>
      <w:keepNext/>
      <w:keepLines/>
      <w:spacing w:before="40" w:after="0"/>
      <w:outlineLvl w:val="1"/>
    </w:pPr>
    <w:rPr>
      <w:rFonts w:eastAsiaTheme="majorEastAsia" w:cstheme="majorBidi"/>
      <w:b/>
      <w:i/>
      <w:color w:val="262626" w:themeColor="text1" w:themeTint="D9"/>
      <w:sz w:val="24"/>
      <w:szCs w:val="26"/>
    </w:rPr>
  </w:style>
  <w:style w:type="paragraph" w:styleId="Heading3">
    <w:name w:val="heading 3"/>
    <w:basedOn w:val="Normal"/>
    <w:next w:val="Normal"/>
    <w:link w:val="Heading3Char"/>
    <w:uiPriority w:val="9"/>
    <w:unhideWhenUsed/>
    <w:qFormat/>
    <w:rsid w:val="00BE6E2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3A"/>
    <w:pPr>
      <w:ind w:left="720"/>
      <w:contextualSpacing/>
    </w:pPr>
  </w:style>
  <w:style w:type="paragraph" w:styleId="Title">
    <w:name w:val="Title"/>
    <w:basedOn w:val="Normal"/>
    <w:next w:val="Normal"/>
    <w:link w:val="TitleChar"/>
    <w:uiPriority w:val="10"/>
    <w:qFormat/>
    <w:rsid w:val="00A62754"/>
    <w:pPr>
      <w:pBdr>
        <w:bottom w:val="single" w:sz="8" w:space="1" w:color="0070C0"/>
      </w:pBdr>
      <w:spacing w:after="120" w:line="240" w:lineRule="auto"/>
      <w:contextualSpacing/>
    </w:pPr>
    <w:rPr>
      <w:rFonts w:ascii="Century Gothic" w:eastAsiaTheme="majorEastAsia" w:hAnsi="Century Gothic" w:cstheme="majorBidi"/>
      <w:spacing w:val="-10"/>
      <w:kern w:val="28"/>
      <w:sz w:val="36"/>
      <w:szCs w:val="56"/>
    </w:rPr>
  </w:style>
  <w:style w:type="character" w:customStyle="1" w:styleId="TitleChar">
    <w:name w:val="Title Char"/>
    <w:basedOn w:val="DefaultParagraphFont"/>
    <w:link w:val="Title"/>
    <w:uiPriority w:val="10"/>
    <w:rsid w:val="00A62754"/>
    <w:rPr>
      <w:rFonts w:ascii="Century Gothic" w:eastAsiaTheme="majorEastAsia" w:hAnsi="Century Gothic" w:cstheme="majorBidi"/>
      <w:spacing w:val="-10"/>
      <w:kern w:val="28"/>
      <w:sz w:val="36"/>
      <w:szCs w:val="56"/>
    </w:rPr>
  </w:style>
  <w:style w:type="character" w:styleId="CommentReference">
    <w:name w:val="annotation reference"/>
    <w:basedOn w:val="DefaultParagraphFont"/>
    <w:uiPriority w:val="99"/>
    <w:semiHidden/>
    <w:unhideWhenUsed/>
    <w:rsid w:val="00132B82"/>
    <w:rPr>
      <w:sz w:val="16"/>
      <w:szCs w:val="16"/>
    </w:rPr>
  </w:style>
  <w:style w:type="paragraph" w:styleId="CommentText">
    <w:name w:val="annotation text"/>
    <w:basedOn w:val="Normal"/>
    <w:link w:val="CommentTextChar"/>
    <w:uiPriority w:val="99"/>
    <w:unhideWhenUsed/>
    <w:rsid w:val="00132B82"/>
    <w:pPr>
      <w:spacing w:line="240" w:lineRule="auto"/>
    </w:pPr>
    <w:rPr>
      <w:sz w:val="20"/>
      <w:szCs w:val="20"/>
    </w:rPr>
  </w:style>
  <w:style w:type="character" w:customStyle="1" w:styleId="CommentTextChar">
    <w:name w:val="Comment Text Char"/>
    <w:basedOn w:val="DefaultParagraphFont"/>
    <w:link w:val="CommentText"/>
    <w:uiPriority w:val="99"/>
    <w:rsid w:val="00132B82"/>
    <w:rPr>
      <w:sz w:val="20"/>
      <w:szCs w:val="20"/>
    </w:rPr>
  </w:style>
  <w:style w:type="paragraph" w:styleId="BalloonText">
    <w:name w:val="Balloon Text"/>
    <w:basedOn w:val="Normal"/>
    <w:link w:val="BalloonTextChar"/>
    <w:uiPriority w:val="99"/>
    <w:semiHidden/>
    <w:unhideWhenUsed/>
    <w:rsid w:val="00132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82"/>
    <w:rPr>
      <w:rFonts w:ascii="Segoe UI" w:hAnsi="Segoe UI" w:cs="Segoe UI"/>
      <w:sz w:val="18"/>
      <w:szCs w:val="18"/>
    </w:rPr>
  </w:style>
  <w:style w:type="paragraph" w:styleId="Header">
    <w:name w:val="header"/>
    <w:basedOn w:val="Normal"/>
    <w:link w:val="HeaderChar"/>
    <w:uiPriority w:val="99"/>
    <w:unhideWhenUsed/>
    <w:rsid w:val="002C3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D9"/>
  </w:style>
  <w:style w:type="paragraph" w:styleId="Footer">
    <w:name w:val="footer"/>
    <w:basedOn w:val="Normal"/>
    <w:link w:val="FooterChar"/>
    <w:uiPriority w:val="99"/>
    <w:unhideWhenUsed/>
    <w:rsid w:val="002C3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D9"/>
  </w:style>
  <w:style w:type="paragraph" w:styleId="EndnoteText">
    <w:name w:val="endnote text"/>
    <w:basedOn w:val="Normal"/>
    <w:link w:val="EndnoteTextChar"/>
    <w:uiPriority w:val="99"/>
    <w:unhideWhenUsed/>
    <w:rsid w:val="0017495E"/>
    <w:pPr>
      <w:spacing w:after="0" w:line="240" w:lineRule="auto"/>
    </w:pPr>
    <w:rPr>
      <w:sz w:val="20"/>
      <w:szCs w:val="20"/>
    </w:rPr>
  </w:style>
  <w:style w:type="character" w:customStyle="1" w:styleId="EndnoteTextChar">
    <w:name w:val="Endnote Text Char"/>
    <w:basedOn w:val="DefaultParagraphFont"/>
    <w:link w:val="EndnoteText"/>
    <w:uiPriority w:val="99"/>
    <w:rsid w:val="0017495E"/>
    <w:rPr>
      <w:sz w:val="20"/>
      <w:szCs w:val="20"/>
    </w:rPr>
  </w:style>
  <w:style w:type="character" w:styleId="EndnoteReference">
    <w:name w:val="endnote reference"/>
    <w:basedOn w:val="DefaultParagraphFont"/>
    <w:uiPriority w:val="99"/>
    <w:unhideWhenUsed/>
    <w:rsid w:val="0017495E"/>
    <w:rPr>
      <w:vertAlign w:val="superscript"/>
    </w:rPr>
  </w:style>
  <w:style w:type="character" w:styleId="Hyperlink">
    <w:name w:val="Hyperlink"/>
    <w:basedOn w:val="DefaultParagraphFont"/>
    <w:uiPriority w:val="99"/>
    <w:unhideWhenUsed/>
    <w:rsid w:val="00CE1725"/>
    <w:rPr>
      <w:color w:val="0000FF"/>
      <w:u w:val="single"/>
    </w:rPr>
  </w:style>
  <w:style w:type="character" w:styleId="FollowedHyperlink">
    <w:name w:val="FollowedHyperlink"/>
    <w:basedOn w:val="DefaultParagraphFont"/>
    <w:uiPriority w:val="99"/>
    <w:semiHidden/>
    <w:unhideWhenUsed/>
    <w:rsid w:val="00CE172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C63C2"/>
    <w:rPr>
      <w:b/>
      <w:bCs/>
    </w:rPr>
  </w:style>
  <w:style w:type="character" w:customStyle="1" w:styleId="CommentSubjectChar">
    <w:name w:val="Comment Subject Char"/>
    <w:basedOn w:val="CommentTextChar"/>
    <w:link w:val="CommentSubject"/>
    <w:uiPriority w:val="99"/>
    <w:semiHidden/>
    <w:rsid w:val="008C63C2"/>
    <w:rPr>
      <w:b/>
      <w:bCs/>
      <w:sz w:val="20"/>
      <w:szCs w:val="20"/>
    </w:rPr>
  </w:style>
  <w:style w:type="paragraph" w:styleId="Caption">
    <w:name w:val="caption"/>
    <w:basedOn w:val="Normal"/>
    <w:next w:val="Normal"/>
    <w:uiPriority w:val="35"/>
    <w:unhideWhenUsed/>
    <w:qFormat/>
    <w:rsid w:val="00C63676"/>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BA29BC"/>
    <w:rPr>
      <w:rFonts w:asciiTheme="majorHAnsi" w:eastAsiaTheme="majorEastAsia" w:hAnsiTheme="majorHAnsi" w:cstheme="majorBidi"/>
      <w:b/>
      <w:color w:val="0070C0"/>
      <w:sz w:val="28"/>
      <w:szCs w:val="32"/>
    </w:rPr>
  </w:style>
  <w:style w:type="character" w:customStyle="1" w:styleId="Heading2Char">
    <w:name w:val="Heading 2 Char"/>
    <w:basedOn w:val="DefaultParagraphFont"/>
    <w:link w:val="Heading2"/>
    <w:uiPriority w:val="9"/>
    <w:rsid w:val="005F6F70"/>
    <w:rPr>
      <w:rFonts w:eastAsiaTheme="majorEastAsia" w:cstheme="majorBidi"/>
      <w:b/>
      <w:i/>
      <w:color w:val="262626" w:themeColor="text1" w:themeTint="D9"/>
      <w:sz w:val="24"/>
      <w:szCs w:val="26"/>
    </w:rPr>
  </w:style>
  <w:style w:type="table" w:styleId="TableGrid">
    <w:name w:val="Table Grid"/>
    <w:basedOn w:val="TableNormal"/>
    <w:uiPriority w:val="39"/>
    <w:rsid w:val="00F1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F42E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Quote">
    <w:name w:val="Quote"/>
    <w:basedOn w:val="Normal"/>
    <w:next w:val="Normal"/>
    <w:link w:val="QuoteChar"/>
    <w:uiPriority w:val="29"/>
    <w:qFormat/>
    <w:rsid w:val="00A24319"/>
    <w:pPr>
      <w:spacing w:before="200"/>
      <w:ind w:left="864" w:right="864"/>
      <w:jc w:val="center"/>
    </w:pPr>
    <w:rPr>
      <w:i/>
      <w:iCs/>
      <w:color w:val="31849B" w:themeColor="accent5" w:themeShade="BF"/>
    </w:rPr>
  </w:style>
  <w:style w:type="character" w:customStyle="1" w:styleId="QuoteChar">
    <w:name w:val="Quote Char"/>
    <w:basedOn w:val="DefaultParagraphFont"/>
    <w:link w:val="Quote"/>
    <w:uiPriority w:val="29"/>
    <w:rsid w:val="00A24319"/>
    <w:rPr>
      <w:i/>
      <w:iCs/>
      <w:color w:val="31849B" w:themeColor="accent5" w:themeShade="BF"/>
    </w:rPr>
  </w:style>
  <w:style w:type="paragraph" w:styleId="IntenseQuote">
    <w:name w:val="Intense Quote"/>
    <w:basedOn w:val="Normal"/>
    <w:next w:val="Normal"/>
    <w:link w:val="IntenseQuoteChar"/>
    <w:uiPriority w:val="30"/>
    <w:qFormat/>
    <w:rsid w:val="005B31A4"/>
    <w:pPr>
      <w:pBdr>
        <w:top w:val="single" w:sz="4" w:space="4" w:color="0070C0"/>
        <w:bottom w:val="single" w:sz="4" w:space="4" w:color="0070C0"/>
      </w:pBdr>
      <w:spacing w:before="160"/>
      <w:jc w:val="both"/>
    </w:pPr>
    <w:rPr>
      <w:i/>
      <w:iCs/>
      <w:color w:val="0070C0"/>
    </w:rPr>
  </w:style>
  <w:style w:type="character" w:customStyle="1" w:styleId="IntenseQuoteChar">
    <w:name w:val="Intense Quote Char"/>
    <w:basedOn w:val="DefaultParagraphFont"/>
    <w:link w:val="IntenseQuote"/>
    <w:uiPriority w:val="30"/>
    <w:rsid w:val="005B31A4"/>
    <w:rPr>
      <w:i/>
      <w:iCs/>
      <w:color w:val="0070C0"/>
    </w:rPr>
  </w:style>
  <w:style w:type="character" w:styleId="IntenseReference">
    <w:name w:val="Intense Reference"/>
    <w:basedOn w:val="DefaultParagraphFont"/>
    <w:uiPriority w:val="32"/>
    <w:qFormat/>
    <w:rsid w:val="00A24319"/>
    <w:rPr>
      <w:b/>
      <w:bCs/>
      <w:smallCaps/>
      <w:color w:val="4F81BD" w:themeColor="accent1"/>
      <w:spacing w:val="5"/>
    </w:rPr>
  </w:style>
  <w:style w:type="character" w:styleId="Strong">
    <w:name w:val="Strong"/>
    <w:basedOn w:val="DefaultParagraphFont"/>
    <w:uiPriority w:val="22"/>
    <w:qFormat/>
    <w:rsid w:val="008D3E33"/>
    <w:rPr>
      <w:rFonts w:asciiTheme="minorHAnsi" w:hAnsiTheme="minorHAnsi"/>
      <w:b/>
      <w:bCs/>
      <w:color w:val="0070C0"/>
    </w:rPr>
  </w:style>
  <w:style w:type="character" w:styleId="SubtleReference">
    <w:name w:val="Subtle Reference"/>
    <w:basedOn w:val="DefaultParagraphFont"/>
    <w:uiPriority w:val="31"/>
    <w:qFormat/>
    <w:rsid w:val="008D3E33"/>
    <w:rPr>
      <w:smallCaps/>
      <w:color w:val="5A5A5A" w:themeColor="text1" w:themeTint="A5"/>
    </w:rPr>
  </w:style>
  <w:style w:type="paragraph" w:styleId="NoSpacing">
    <w:name w:val="No Spacing"/>
    <w:link w:val="NoSpacingChar"/>
    <w:uiPriority w:val="1"/>
    <w:qFormat/>
    <w:rsid w:val="006028E7"/>
    <w:pPr>
      <w:spacing w:after="0" w:line="240" w:lineRule="auto"/>
    </w:pPr>
    <w:rPr>
      <w:rFonts w:eastAsiaTheme="minorEastAsia"/>
    </w:rPr>
  </w:style>
  <w:style w:type="character" w:customStyle="1" w:styleId="NoSpacingChar">
    <w:name w:val="No Spacing Char"/>
    <w:basedOn w:val="DefaultParagraphFont"/>
    <w:link w:val="NoSpacing"/>
    <w:uiPriority w:val="1"/>
    <w:rsid w:val="006028E7"/>
    <w:rPr>
      <w:rFonts w:eastAsiaTheme="minorEastAsia"/>
    </w:rPr>
  </w:style>
  <w:style w:type="character" w:customStyle="1" w:styleId="Heading3Char">
    <w:name w:val="Heading 3 Char"/>
    <w:basedOn w:val="DefaultParagraphFont"/>
    <w:link w:val="Heading3"/>
    <w:uiPriority w:val="9"/>
    <w:rsid w:val="00BE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6568">
      <w:bodyDiv w:val="1"/>
      <w:marLeft w:val="0"/>
      <w:marRight w:val="0"/>
      <w:marTop w:val="0"/>
      <w:marBottom w:val="0"/>
      <w:divBdr>
        <w:top w:val="none" w:sz="0" w:space="0" w:color="auto"/>
        <w:left w:val="none" w:sz="0" w:space="0" w:color="auto"/>
        <w:bottom w:val="none" w:sz="0" w:space="0" w:color="auto"/>
        <w:right w:val="none" w:sz="0" w:space="0" w:color="auto"/>
      </w:divBdr>
    </w:div>
    <w:div w:id="523402143">
      <w:bodyDiv w:val="1"/>
      <w:marLeft w:val="0"/>
      <w:marRight w:val="0"/>
      <w:marTop w:val="0"/>
      <w:marBottom w:val="0"/>
      <w:divBdr>
        <w:top w:val="none" w:sz="0" w:space="0" w:color="auto"/>
        <w:left w:val="none" w:sz="0" w:space="0" w:color="auto"/>
        <w:bottom w:val="none" w:sz="0" w:space="0" w:color="auto"/>
        <w:right w:val="none" w:sz="0" w:space="0" w:color="auto"/>
      </w:divBdr>
    </w:div>
    <w:div w:id="871918553">
      <w:bodyDiv w:val="1"/>
      <w:marLeft w:val="0"/>
      <w:marRight w:val="0"/>
      <w:marTop w:val="0"/>
      <w:marBottom w:val="0"/>
      <w:divBdr>
        <w:top w:val="none" w:sz="0" w:space="0" w:color="auto"/>
        <w:left w:val="none" w:sz="0" w:space="0" w:color="auto"/>
        <w:bottom w:val="none" w:sz="0" w:space="0" w:color="auto"/>
        <w:right w:val="none" w:sz="0" w:space="0" w:color="auto"/>
      </w:divBdr>
    </w:div>
    <w:div w:id="12697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8" Type="http://schemas.openxmlformats.org/officeDocument/2006/relationships/hyperlink" Target="https://www.mtctrains.com/new-mexico-corrections-secretary-wants-to-duplicate-mtcs-otero-facility/" TargetMode="External"/><Relationship Id="rId13" Type="http://schemas.openxmlformats.org/officeDocument/2006/relationships/hyperlink" Target="https://socialwork.utah.edu/_documents/861.pdf" TargetMode="External"/><Relationship Id="rId3" Type="http://schemas.openxmlformats.org/officeDocument/2006/relationships/hyperlink" Target="https://www.nap.edu/catalog/18613/the-growth-of-incarceration-in-the-united-states-exploring-causes" TargetMode="External"/><Relationship Id="rId7" Type="http://schemas.openxmlformats.org/officeDocument/2006/relationships/hyperlink" Target="https://www.dhs.gov/sites/default/files/publications/19_0318_MGMT_CBJ-Immigration-Customs-Enforcement_0.pdf" TargetMode="External"/><Relationship Id="rId12" Type="http://schemas.openxmlformats.org/officeDocument/2006/relationships/hyperlink" Target="https://www.dhs.gov/sites/default/files/publications/DHS%20HSAC%20PIDF%20Final%20Report.pdf" TargetMode="External"/><Relationship Id="rId2" Type="http://schemas.openxmlformats.org/officeDocument/2006/relationships/hyperlink" Target="https://www.bjs.gov/index.cfm?ty=pbdetail&amp;iid=6187" TargetMode="External"/><Relationship Id="rId1" Type="http://schemas.openxmlformats.org/officeDocument/2006/relationships/hyperlink" Target="https://www.bjs.gov/index.cfm?ty=pbdetail&amp;iid=6187" TargetMode="External"/><Relationship Id="rId6" Type="http://schemas.openxmlformats.org/officeDocument/2006/relationships/hyperlink" Target="https://cmsny.org/publications/virtualbrief-detention/" TargetMode="External"/><Relationship Id="rId11" Type="http://schemas.openxmlformats.org/officeDocument/2006/relationships/hyperlink" Target="https://www.bop.gov/foia/docs/fy2017_per_capita_costs.pdf" TargetMode="External"/><Relationship Id="rId5" Type="http://schemas.openxmlformats.org/officeDocument/2006/relationships/hyperlink" Target="https://www.dhs.gov/sites/default/files/publications/DHS%20HSAC%20PIDF%20Final%20Report.pdf" TargetMode="External"/><Relationship Id="rId15" Type="http://schemas.openxmlformats.org/officeDocument/2006/relationships/hyperlink" Target="https://www.justice.gov/archives/opa/file/886311/download" TargetMode="External"/><Relationship Id="rId10" Type="http://schemas.openxmlformats.org/officeDocument/2006/relationships/hyperlink" Target="http://www.sentencingproject.org/wp-content/uploads/2016/01/Trends-in-US-Corrections.pdf" TargetMode="External"/><Relationship Id="rId4" Type="http://schemas.openxmlformats.org/officeDocument/2006/relationships/hyperlink" Target="https://www.dhs.gov/sites/default/files/publications/DHS%20HSAC%20PIDF%20Final%20Report.pdf" TargetMode="External"/><Relationship Id="rId9" Type="http://schemas.openxmlformats.org/officeDocument/2006/relationships/hyperlink" Target="https://trac.syr.edu/immigration/reports/530/" TargetMode="External"/><Relationship Id="rId14" Type="http://schemas.openxmlformats.org/officeDocument/2006/relationships/hyperlink" Target="https://oig.justice.gov/reports/2016/e1606.pdf"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6512-6E2B-44D4-959E-A5B9D9B2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Jasperson</dc:creator>
  <cp:keywords/>
  <dc:description/>
  <cp:lastModifiedBy>Danny Jasperson</cp:lastModifiedBy>
  <cp:revision>7</cp:revision>
  <cp:lastPrinted>2019-05-29T14:13:00Z</cp:lastPrinted>
  <dcterms:created xsi:type="dcterms:W3CDTF">2019-05-14T22:00:00Z</dcterms:created>
  <dcterms:modified xsi:type="dcterms:W3CDTF">2019-05-29T14:13:00Z</dcterms:modified>
</cp:coreProperties>
</file>